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10"/>
        </w:rPr>
      </w:pPr>
    </w:p>
    <w:p>
      <w:pPr>
        <w:spacing w:line="408" w:lineRule="auto" w:before="35"/>
        <w:ind w:left="577" w:right="436" w:firstLine="0"/>
        <w:jc w:val="center"/>
        <w:rPr>
          <w:rFonts w:ascii="Calibri Light" w:hAnsi="Calibri Light"/>
          <w:b w:val="0"/>
          <w:sz w:val="32"/>
        </w:rPr>
      </w:pPr>
      <w:r>
        <w:rPr>
          <w:rFonts w:ascii="Calibri Light" w:hAnsi="Calibri Light"/>
          <w:b w:val="0"/>
          <w:color w:val="2E5395"/>
          <w:sz w:val="32"/>
        </w:rPr>
        <w:t>Методика за оценка „Оптимално съотношение качество-цена“ Формула „Присъждане на точки“</w:t>
      </w:r>
    </w:p>
    <w:p>
      <w:pPr>
        <w:pStyle w:val="BodyText"/>
        <w:spacing w:before="203"/>
        <w:ind w:left="573" w:right="436"/>
        <w:jc w:val="center"/>
      </w:pPr>
      <w:r>
        <w:rPr/>
        <w:t>Score = SUM (Q</w:t>
      </w:r>
      <w:r>
        <w:rPr>
          <w:sz w:val="16"/>
        </w:rPr>
        <w:t>1</w:t>
      </w:r>
      <w:r>
        <w:rPr/>
        <w:t>, Q</w:t>
      </w:r>
      <w:r>
        <w:rPr>
          <w:sz w:val="16"/>
        </w:rPr>
        <w:t>2</w:t>
      </w:r>
      <w:r>
        <w:rPr/>
        <w:t>, ..., Q</w:t>
      </w:r>
      <w:r>
        <w:rPr>
          <w:sz w:val="16"/>
        </w:rPr>
        <w:t>N</w:t>
      </w:r>
      <w:r>
        <w:rPr/>
        <w:t>)</w:t>
      </w:r>
    </w:p>
    <w:p>
      <w:pPr>
        <w:pStyle w:val="BodyText"/>
        <w:spacing w:before="182"/>
      </w:pPr>
      <w:r>
        <w:rPr/>
        <w:t>Където:</w:t>
      </w:r>
    </w:p>
    <w:p>
      <w:pPr>
        <w:pStyle w:val="BodyText"/>
        <w:spacing w:before="180"/>
      </w:pPr>
      <w:r>
        <w:rPr/>
        <w:t>Score – сумата от всички получени точки по показатели.</w:t>
      </w:r>
    </w:p>
    <w:p>
      <w:pPr>
        <w:pStyle w:val="BodyText"/>
        <w:spacing w:before="181"/>
      </w:pPr>
      <w:r>
        <w:rPr/>
        <w:t>Q</w:t>
      </w:r>
      <w:r>
        <w:rPr>
          <w:sz w:val="16"/>
        </w:rPr>
        <w:t>1</w:t>
      </w:r>
      <w:r>
        <w:rPr/>
        <w:t>, Q</w:t>
      </w:r>
      <w:r>
        <w:rPr>
          <w:sz w:val="16"/>
        </w:rPr>
        <w:t>2</w:t>
      </w:r>
      <w:r>
        <w:rPr/>
        <w:t>, ..., Q</w:t>
      </w:r>
      <w:r>
        <w:rPr>
          <w:sz w:val="16"/>
        </w:rPr>
        <w:t>N – </w:t>
      </w:r>
      <w:r>
        <w:rPr/>
        <w:t>Индивидуални технически и/или ценови показатели за оценка</w:t>
      </w:r>
    </w:p>
    <w:p>
      <w:pPr>
        <w:pStyle w:val="BodyText"/>
        <w:spacing w:line="256" w:lineRule="auto" w:before="185"/>
        <w:ind w:right="841"/>
      </w:pPr>
      <w:r>
        <w:rPr/>
        <w:t>Индивидуалните показателите за оценка могат също така да бъдат задавани и на ценовия компонент.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line="256" w:lineRule="auto"/>
        <w:ind w:right="98"/>
      </w:pPr>
      <w:r>
        <w:rPr/>
        <w:t>Участникът с най-висок Score печели, следва подреждане на постъпилите предложения по Score в низходящ ред.</w:t>
      </w:r>
    </w:p>
    <w:sectPr>
      <w:type w:val="continuous"/>
      <w:pgSz w:w="12240" w:h="15840"/>
      <w:pgMar w:top="150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 Light">
    <w:altName w:val="Calibri Light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Paskov</dc:creator>
  <dcterms:created xsi:type="dcterms:W3CDTF">2022-01-05T10:32:36Z</dcterms:created>
  <dcterms:modified xsi:type="dcterms:W3CDTF">2022-01-05T10:32:36Z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