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B8E22" w14:textId="77777777" w:rsidR="009A24A6" w:rsidRPr="002C312C" w:rsidRDefault="00C237F0" w:rsidP="009A24A6">
      <w:pPr>
        <w:tabs>
          <w:tab w:val="left" w:pos="6521"/>
        </w:tabs>
        <w:jc w:val="center"/>
        <w:rPr>
          <w:rFonts w:ascii="Arial Narrow" w:hAnsi="Arial Narrow"/>
          <w:b/>
          <w:sz w:val="28"/>
          <w:szCs w:val="28"/>
        </w:rPr>
      </w:pPr>
      <w:r w:rsidRPr="002C312C">
        <w:rPr>
          <w:rFonts w:ascii="Arial Narrow" w:hAnsi="Arial Narrow"/>
          <w:b/>
          <w:sz w:val="28"/>
          <w:szCs w:val="28"/>
        </w:rPr>
        <w:t xml:space="preserve">Резолюция № </w:t>
      </w:r>
      <w:r w:rsidR="009A24A6" w:rsidRPr="002C312C">
        <w:rPr>
          <w:rFonts w:ascii="Arial Narrow" w:hAnsi="Arial Narrow"/>
          <w:b/>
          <w:sz w:val="28"/>
          <w:szCs w:val="28"/>
        </w:rPr>
        <w:t>17</w:t>
      </w:r>
    </w:p>
    <w:p w14:paraId="6F2518F7" w14:textId="70F02D6C" w:rsidR="003436E7" w:rsidRPr="002C312C" w:rsidRDefault="00C237F0" w:rsidP="009A24A6">
      <w:pPr>
        <w:tabs>
          <w:tab w:val="left" w:pos="6521"/>
        </w:tabs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2C312C">
        <w:rPr>
          <w:rFonts w:ascii="Arial Narrow" w:hAnsi="Arial Narrow"/>
          <w:b/>
          <w:sz w:val="28"/>
          <w:szCs w:val="28"/>
        </w:rPr>
        <w:t xml:space="preserve">За </w:t>
      </w:r>
      <w:r w:rsidR="00CD0271" w:rsidRPr="002C312C">
        <w:rPr>
          <w:rFonts w:ascii="Arial Narrow" w:hAnsi="Arial Narrow"/>
          <w:b/>
          <w:sz w:val="28"/>
          <w:szCs w:val="28"/>
        </w:rPr>
        <w:t>наистина справедлив зелен преход</w:t>
      </w:r>
    </w:p>
    <w:p w14:paraId="2360A700" w14:textId="0A91A9A5" w:rsidR="00543DE1" w:rsidRPr="002C312C" w:rsidRDefault="004D4B93" w:rsidP="00AC4B15">
      <w:pPr>
        <w:pStyle w:val="ListParagraph"/>
        <w:numPr>
          <w:ilvl w:val="0"/>
          <w:numId w:val="1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2C312C">
        <w:rPr>
          <w:rFonts w:ascii="Arial Narrow" w:hAnsi="Arial Narrow"/>
          <w:sz w:val="28"/>
          <w:szCs w:val="28"/>
        </w:rPr>
        <w:t xml:space="preserve">Като отчита, че </w:t>
      </w:r>
      <w:r w:rsidR="000A0060" w:rsidRPr="002C312C">
        <w:rPr>
          <w:rFonts w:ascii="Arial Narrow" w:hAnsi="Arial Narrow"/>
          <w:sz w:val="28"/>
          <w:szCs w:val="28"/>
        </w:rPr>
        <w:t>природните катаклизми се интензифицират през последните десетилетия</w:t>
      </w:r>
      <w:r w:rsidR="00543DE1" w:rsidRPr="002C312C">
        <w:rPr>
          <w:rFonts w:ascii="Arial Narrow" w:hAnsi="Arial Narrow"/>
          <w:sz w:val="28"/>
          <w:szCs w:val="28"/>
        </w:rPr>
        <w:t>;</w:t>
      </w:r>
    </w:p>
    <w:p w14:paraId="05F1E9A7" w14:textId="3B96A6CC" w:rsidR="00D414AA" w:rsidRPr="002C312C" w:rsidRDefault="00D414AA" w:rsidP="00AC4B15">
      <w:pPr>
        <w:pStyle w:val="ListParagraph"/>
        <w:numPr>
          <w:ilvl w:val="0"/>
          <w:numId w:val="1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2C312C">
        <w:rPr>
          <w:rFonts w:ascii="Arial Narrow" w:hAnsi="Arial Narrow"/>
          <w:sz w:val="28"/>
          <w:szCs w:val="28"/>
        </w:rPr>
        <w:t xml:space="preserve">Като </w:t>
      </w:r>
      <w:r w:rsidR="00554764" w:rsidRPr="002C312C">
        <w:rPr>
          <w:rFonts w:ascii="Arial Narrow" w:hAnsi="Arial Narrow"/>
          <w:sz w:val="28"/>
          <w:szCs w:val="28"/>
        </w:rPr>
        <w:t>подкрепя усилията</w:t>
      </w:r>
      <w:r w:rsidRPr="002C312C">
        <w:rPr>
          <w:rFonts w:ascii="Arial Narrow" w:hAnsi="Arial Narrow"/>
          <w:sz w:val="28"/>
          <w:szCs w:val="28"/>
        </w:rPr>
        <w:t xml:space="preserve"> да се ограничат парниковите </w:t>
      </w:r>
      <w:r w:rsidR="00554764" w:rsidRPr="002C312C">
        <w:rPr>
          <w:rFonts w:ascii="Arial Narrow" w:hAnsi="Arial Narrow"/>
          <w:sz w:val="28"/>
          <w:szCs w:val="28"/>
        </w:rPr>
        <w:t>газове</w:t>
      </w:r>
      <w:r w:rsidRPr="002C312C">
        <w:rPr>
          <w:rFonts w:ascii="Arial Narrow" w:hAnsi="Arial Narrow"/>
          <w:sz w:val="28"/>
          <w:szCs w:val="28"/>
        </w:rPr>
        <w:t>;</w:t>
      </w:r>
    </w:p>
    <w:p w14:paraId="1D17ADC8" w14:textId="209986DA" w:rsidR="006D29A6" w:rsidRPr="002C312C" w:rsidRDefault="006D29A6" w:rsidP="00AC4B15">
      <w:pPr>
        <w:pStyle w:val="ListParagraph"/>
        <w:numPr>
          <w:ilvl w:val="0"/>
          <w:numId w:val="1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2C312C">
        <w:rPr>
          <w:rFonts w:ascii="Arial Narrow" w:hAnsi="Arial Narrow"/>
          <w:sz w:val="28"/>
          <w:szCs w:val="28"/>
        </w:rPr>
        <w:t>Като заявява, че програмираното остаряване</w:t>
      </w:r>
      <w:r w:rsidR="00FD22CE" w:rsidRPr="002C312C">
        <w:rPr>
          <w:rFonts w:ascii="Arial Narrow" w:hAnsi="Arial Narrow"/>
          <w:sz w:val="28"/>
          <w:szCs w:val="28"/>
        </w:rPr>
        <w:t xml:space="preserve"> на стоките е основна причина за ненужно похабяване на ресурси и замърсяване на планетата;</w:t>
      </w:r>
    </w:p>
    <w:p w14:paraId="58B8045B" w14:textId="65CD06E8" w:rsidR="00D414AA" w:rsidRPr="002C312C" w:rsidRDefault="00D414AA" w:rsidP="00AC4B15">
      <w:pPr>
        <w:pStyle w:val="ListParagraph"/>
        <w:numPr>
          <w:ilvl w:val="0"/>
          <w:numId w:val="1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2C312C">
        <w:rPr>
          <w:rFonts w:ascii="Arial Narrow" w:hAnsi="Arial Narrow"/>
          <w:sz w:val="28"/>
          <w:szCs w:val="28"/>
        </w:rPr>
        <w:t>Кат</w:t>
      </w:r>
      <w:r w:rsidR="001C7E6B" w:rsidRPr="002C312C">
        <w:rPr>
          <w:rFonts w:ascii="Arial Narrow" w:hAnsi="Arial Narrow"/>
          <w:sz w:val="28"/>
          <w:szCs w:val="28"/>
        </w:rPr>
        <w:t>о акцентира върху факта, че най-развитите</w:t>
      </w:r>
      <w:r w:rsidRPr="002C312C">
        <w:rPr>
          <w:rFonts w:ascii="Arial Narrow" w:hAnsi="Arial Narrow"/>
          <w:sz w:val="28"/>
          <w:szCs w:val="28"/>
        </w:rPr>
        <w:t xml:space="preserve"> държави носят най-голяма отговорност за генерирането на въглероден </w:t>
      </w:r>
      <w:r w:rsidR="001D0CCC" w:rsidRPr="002C312C">
        <w:rPr>
          <w:rFonts w:ascii="Arial Narrow" w:hAnsi="Arial Narrow"/>
          <w:sz w:val="28"/>
          <w:szCs w:val="28"/>
        </w:rPr>
        <w:t>диоксид</w:t>
      </w:r>
      <w:r w:rsidR="00682CFE" w:rsidRPr="002C312C">
        <w:rPr>
          <w:rStyle w:val="FootnoteReference"/>
          <w:rFonts w:ascii="Arial Narrow" w:hAnsi="Arial Narrow"/>
          <w:sz w:val="28"/>
          <w:szCs w:val="28"/>
        </w:rPr>
        <w:footnoteReference w:id="1"/>
      </w:r>
      <w:r w:rsidRPr="002C312C">
        <w:rPr>
          <w:rFonts w:ascii="Arial Narrow" w:hAnsi="Arial Narrow"/>
          <w:sz w:val="28"/>
          <w:szCs w:val="28"/>
        </w:rPr>
        <w:t>, поради което следва да понесат най-голяма тежест за ограничаването му;</w:t>
      </w:r>
    </w:p>
    <w:p w14:paraId="50999D91" w14:textId="355DF76D" w:rsidR="00D630D6" w:rsidRPr="002C312C" w:rsidRDefault="00D630D6" w:rsidP="006D29A6">
      <w:pPr>
        <w:pStyle w:val="ListParagraph"/>
        <w:numPr>
          <w:ilvl w:val="0"/>
          <w:numId w:val="1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2C312C">
        <w:rPr>
          <w:rFonts w:ascii="Arial Narrow" w:hAnsi="Arial Narrow"/>
          <w:sz w:val="28"/>
          <w:szCs w:val="28"/>
        </w:rPr>
        <w:t xml:space="preserve">Като </w:t>
      </w:r>
      <w:r w:rsidR="006D29A6" w:rsidRPr="002C312C">
        <w:rPr>
          <w:rFonts w:ascii="Arial Narrow" w:hAnsi="Arial Narrow"/>
          <w:sz w:val="28"/>
          <w:szCs w:val="28"/>
        </w:rPr>
        <w:t>обръща внимание</w:t>
      </w:r>
      <w:r w:rsidRPr="002C312C">
        <w:rPr>
          <w:rFonts w:ascii="Arial Narrow" w:hAnsi="Arial Narrow"/>
          <w:sz w:val="28"/>
          <w:szCs w:val="28"/>
        </w:rPr>
        <w:t xml:space="preserve">, че </w:t>
      </w:r>
      <w:r w:rsidR="006D29A6" w:rsidRPr="002C312C">
        <w:rPr>
          <w:rFonts w:ascii="Arial Narrow" w:hAnsi="Arial Narrow"/>
          <w:sz w:val="28"/>
          <w:szCs w:val="28"/>
        </w:rPr>
        <w:t xml:space="preserve">към 2019 г. </w:t>
      </w:r>
      <w:r w:rsidRPr="002C312C">
        <w:rPr>
          <w:rFonts w:ascii="Arial Narrow" w:hAnsi="Arial Narrow"/>
          <w:sz w:val="28"/>
          <w:szCs w:val="28"/>
        </w:rPr>
        <w:t>България е редуцирала емисиите</w:t>
      </w:r>
      <w:r w:rsidR="006D29A6" w:rsidRPr="002C312C">
        <w:rPr>
          <w:rFonts w:ascii="Arial Narrow" w:hAnsi="Arial Narrow"/>
          <w:sz w:val="28"/>
          <w:szCs w:val="28"/>
        </w:rPr>
        <w:t xml:space="preserve"> си</w:t>
      </w:r>
      <w:r w:rsidRPr="002C312C">
        <w:rPr>
          <w:rFonts w:ascii="Arial Narrow" w:hAnsi="Arial Narrow"/>
          <w:sz w:val="28"/>
          <w:szCs w:val="28"/>
        </w:rPr>
        <w:t xml:space="preserve"> на </w:t>
      </w:r>
      <w:r w:rsidRPr="002C312C">
        <w:rPr>
          <w:rFonts w:ascii="Arial Narrow" w:hAnsi="Arial Narrow"/>
          <w:sz w:val="28"/>
          <w:szCs w:val="28"/>
          <w:lang w:val="en-US"/>
        </w:rPr>
        <w:t>CO</w:t>
      </w:r>
      <w:r w:rsidRPr="002C312C">
        <w:rPr>
          <w:rFonts w:ascii="Arial Narrow" w:hAnsi="Arial Narrow"/>
          <w:sz w:val="28"/>
          <w:szCs w:val="28"/>
          <w:vertAlign w:val="subscript"/>
        </w:rPr>
        <w:t>2</w:t>
      </w:r>
      <w:r w:rsidRPr="002C312C">
        <w:rPr>
          <w:rFonts w:ascii="Arial Narrow" w:hAnsi="Arial Narrow"/>
          <w:sz w:val="28"/>
          <w:szCs w:val="28"/>
        </w:rPr>
        <w:t xml:space="preserve"> </w:t>
      </w:r>
      <w:r w:rsidR="006D29A6" w:rsidRPr="002C312C">
        <w:rPr>
          <w:rFonts w:ascii="Arial Narrow" w:hAnsi="Arial Narrow"/>
          <w:sz w:val="28"/>
          <w:szCs w:val="28"/>
        </w:rPr>
        <w:t>с над 51% спрямо базовата година</w:t>
      </w:r>
      <w:r w:rsidR="006D29A6" w:rsidRPr="002C312C">
        <w:rPr>
          <w:rStyle w:val="FootnoteReference"/>
          <w:rFonts w:ascii="Arial Narrow" w:hAnsi="Arial Narrow"/>
          <w:sz w:val="28"/>
          <w:szCs w:val="28"/>
        </w:rPr>
        <w:footnoteReference w:id="2"/>
      </w:r>
      <w:r w:rsidR="006D29A6" w:rsidRPr="002C312C">
        <w:rPr>
          <w:rFonts w:ascii="Arial Narrow" w:hAnsi="Arial Narrow"/>
          <w:sz w:val="28"/>
          <w:szCs w:val="28"/>
        </w:rPr>
        <w:t xml:space="preserve"> и че това е постигнато </w:t>
      </w:r>
      <w:r w:rsidR="001C7E6B" w:rsidRPr="002C312C">
        <w:rPr>
          <w:rFonts w:ascii="Arial Narrow" w:hAnsi="Arial Narrow"/>
          <w:sz w:val="28"/>
          <w:szCs w:val="28"/>
        </w:rPr>
        <w:t>в</w:t>
      </w:r>
      <w:r w:rsidR="006D29A6" w:rsidRPr="002C312C">
        <w:rPr>
          <w:rFonts w:ascii="Arial Narrow" w:hAnsi="Arial Narrow"/>
          <w:sz w:val="28"/>
          <w:szCs w:val="28"/>
        </w:rPr>
        <w:t>следствие от затварянето на огромни производствени мощности и намаляване на населението на страната с над 21% от началото на прехода;</w:t>
      </w:r>
    </w:p>
    <w:p w14:paraId="210CB919" w14:textId="77777777" w:rsidR="006145C6" w:rsidRPr="002C312C" w:rsidRDefault="006145C6" w:rsidP="006145C6">
      <w:pPr>
        <w:pStyle w:val="ListParagraph"/>
        <w:numPr>
          <w:ilvl w:val="0"/>
          <w:numId w:val="1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2C312C">
        <w:rPr>
          <w:rFonts w:ascii="Arial Narrow" w:hAnsi="Arial Narrow"/>
          <w:sz w:val="28"/>
          <w:szCs w:val="28"/>
        </w:rPr>
        <w:t>Като подчертава, че зеленият преход трябва да се проведе на възможно най-ниска социална цена;</w:t>
      </w:r>
    </w:p>
    <w:p w14:paraId="09E78DE2" w14:textId="40B62FC3" w:rsidR="00D414AA" w:rsidRPr="002C312C" w:rsidRDefault="00D414AA" w:rsidP="006145C6">
      <w:pPr>
        <w:pStyle w:val="ListParagraph"/>
        <w:numPr>
          <w:ilvl w:val="0"/>
          <w:numId w:val="1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2C312C">
        <w:rPr>
          <w:rFonts w:ascii="Arial Narrow" w:hAnsi="Arial Narrow"/>
          <w:sz w:val="28"/>
          <w:szCs w:val="28"/>
        </w:rPr>
        <w:t>Като поддържа заявката на Европейската комисия, че никой не бива да остане зад борда, вследствие на преминаването от фосилни към въ</w:t>
      </w:r>
      <w:r w:rsidR="006145C6" w:rsidRPr="002C312C">
        <w:rPr>
          <w:rFonts w:ascii="Arial Narrow" w:hAnsi="Arial Narrow"/>
          <w:sz w:val="28"/>
          <w:szCs w:val="28"/>
        </w:rPr>
        <w:t>зобновяеми източници на енергия</w:t>
      </w:r>
      <w:r w:rsidR="007C6A3C" w:rsidRPr="002C312C">
        <w:rPr>
          <w:rFonts w:ascii="Arial Narrow" w:hAnsi="Arial Narrow"/>
          <w:sz w:val="28"/>
          <w:szCs w:val="28"/>
        </w:rPr>
        <w:t>,</w:t>
      </w:r>
    </w:p>
    <w:p w14:paraId="0D5A9ABB" w14:textId="4FDC9D5E" w:rsidR="0010132E" w:rsidRPr="002C312C" w:rsidRDefault="0010132E" w:rsidP="00543DE1">
      <w:pPr>
        <w:pStyle w:val="ListParagraph"/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</w:p>
    <w:p w14:paraId="1D89B59B" w14:textId="149AEBA7" w:rsidR="00554764" w:rsidRPr="002C312C" w:rsidRDefault="00554764" w:rsidP="00C237F0">
      <w:p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2C312C">
        <w:rPr>
          <w:rFonts w:ascii="Arial Narrow" w:hAnsi="Arial Narrow"/>
          <w:sz w:val="28"/>
          <w:szCs w:val="28"/>
        </w:rPr>
        <w:t>КТ „Подкрепа“ подчертава, че планираното преминаване към изцяло възобновяема енергия е сложен и продължителен процес, който има нужда от внимателно и детайлно планиране</w:t>
      </w:r>
      <w:r w:rsidR="007D2FFB" w:rsidRPr="002C312C">
        <w:rPr>
          <w:rFonts w:ascii="Arial Narrow" w:hAnsi="Arial Narrow"/>
          <w:sz w:val="28"/>
          <w:szCs w:val="28"/>
        </w:rPr>
        <w:t xml:space="preserve"> и от </w:t>
      </w:r>
      <w:r w:rsidRPr="002C312C">
        <w:rPr>
          <w:rFonts w:ascii="Arial Narrow" w:hAnsi="Arial Narrow"/>
          <w:sz w:val="28"/>
          <w:szCs w:val="28"/>
        </w:rPr>
        <w:t>финансово</w:t>
      </w:r>
      <w:r w:rsidR="006145C6" w:rsidRPr="002C312C">
        <w:rPr>
          <w:rFonts w:ascii="Arial Narrow" w:hAnsi="Arial Narrow"/>
          <w:sz w:val="28"/>
          <w:szCs w:val="28"/>
        </w:rPr>
        <w:t xml:space="preserve"> обезпечаване</w:t>
      </w:r>
      <w:r w:rsidRPr="002C312C">
        <w:rPr>
          <w:rFonts w:ascii="Arial Narrow" w:hAnsi="Arial Narrow"/>
          <w:sz w:val="28"/>
          <w:szCs w:val="28"/>
        </w:rPr>
        <w:t xml:space="preserve">. В тази връзка обръщаме внимание, че </w:t>
      </w:r>
      <w:r w:rsidR="008F4C06" w:rsidRPr="002C312C">
        <w:rPr>
          <w:rFonts w:ascii="Arial Narrow" w:hAnsi="Arial Narrow"/>
          <w:sz w:val="28"/>
          <w:szCs w:val="28"/>
        </w:rPr>
        <w:t xml:space="preserve">за предвидените в Зелената сделка програми и реформи беше определен 1 трилион евро – средства, които ще се разходват в рамките на 7-годишен период. Още през 2017 г. Европейската сметна палата в свой доклад подчертава, че за постигането на европейските цели до 2030 г. са нужни 1,115 трилиона евро </w:t>
      </w:r>
      <w:r w:rsidR="008F4C06" w:rsidRPr="002C312C">
        <w:rPr>
          <w:rFonts w:ascii="Arial Narrow" w:hAnsi="Arial Narrow"/>
          <w:b/>
          <w:sz w:val="28"/>
          <w:szCs w:val="28"/>
        </w:rPr>
        <w:t>ежегодно</w:t>
      </w:r>
      <w:r w:rsidR="008F4C06" w:rsidRPr="002C312C">
        <w:rPr>
          <w:rFonts w:ascii="Arial Narrow" w:hAnsi="Arial Narrow"/>
          <w:sz w:val="28"/>
          <w:szCs w:val="28"/>
        </w:rPr>
        <w:t>.</w:t>
      </w:r>
      <w:r w:rsidR="008F4C06" w:rsidRPr="002C312C">
        <w:rPr>
          <w:rStyle w:val="FootnoteReference"/>
          <w:rFonts w:ascii="Arial Narrow" w:hAnsi="Arial Narrow"/>
          <w:sz w:val="28"/>
          <w:szCs w:val="28"/>
        </w:rPr>
        <w:footnoteReference w:id="3"/>
      </w:r>
      <w:r w:rsidR="008F4C06" w:rsidRPr="002C312C">
        <w:rPr>
          <w:rFonts w:ascii="Arial Narrow" w:hAnsi="Arial Narrow"/>
          <w:sz w:val="28"/>
          <w:szCs w:val="28"/>
        </w:rPr>
        <w:t xml:space="preserve"> Финансовата несъстоятелност на плановете предопределя неуспеха на начинанието.</w:t>
      </w:r>
    </w:p>
    <w:p w14:paraId="28DD4B97" w14:textId="7E8D5576" w:rsidR="00C237F0" w:rsidRPr="002C312C" w:rsidRDefault="007D2FFB" w:rsidP="00C237F0">
      <w:p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2C312C">
        <w:rPr>
          <w:rFonts w:ascii="Arial Narrow" w:hAnsi="Arial Narrow"/>
          <w:sz w:val="28"/>
          <w:szCs w:val="28"/>
        </w:rPr>
        <w:t>Зелените цели включват редукция на въглеродния диоксид с 55% до 2030 г. спрямо 1990 г. и нулеви емисии през 2050 г. За България това означава затваряне на въглищните мощности, които обичайно генерират около половината електроенергия, произвеждана в страната, а</w:t>
      </w:r>
      <w:r w:rsidR="006145C6" w:rsidRPr="002C312C">
        <w:rPr>
          <w:rFonts w:ascii="Arial Narrow" w:hAnsi="Arial Narrow"/>
          <w:sz w:val="28"/>
          <w:szCs w:val="28"/>
        </w:rPr>
        <w:t xml:space="preserve"> през студените месеци делът </w:t>
      </w:r>
      <w:r w:rsidRPr="002C312C">
        <w:rPr>
          <w:rFonts w:ascii="Arial Narrow" w:hAnsi="Arial Narrow"/>
          <w:sz w:val="28"/>
          <w:szCs w:val="28"/>
        </w:rPr>
        <w:t xml:space="preserve">им стига </w:t>
      </w:r>
      <w:r w:rsidRPr="002C312C">
        <w:rPr>
          <w:rFonts w:ascii="Arial Narrow" w:hAnsi="Arial Narrow"/>
          <w:sz w:val="28"/>
          <w:szCs w:val="28"/>
        </w:rPr>
        <w:lastRenderedPageBreak/>
        <w:t>до 80%. Предвиденото преходно гориво (природният газ) означава държавата да стане все по-зависима от внос на енергия, поради което КТ „Подкрепа“ от сам</w:t>
      </w:r>
      <w:r w:rsidR="00CD5DE4" w:rsidRPr="002C312C">
        <w:rPr>
          <w:rFonts w:ascii="Arial Narrow" w:hAnsi="Arial Narrow"/>
          <w:sz w:val="28"/>
          <w:szCs w:val="28"/>
        </w:rPr>
        <w:t>ото начало не приема</w:t>
      </w:r>
      <w:r w:rsidRPr="002C312C">
        <w:rPr>
          <w:rFonts w:ascii="Arial Narrow" w:hAnsi="Arial Narrow"/>
          <w:sz w:val="28"/>
          <w:szCs w:val="28"/>
        </w:rPr>
        <w:t xml:space="preserve"> преминаването на държавната </w:t>
      </w:r>
      <w:r w:rsidR="007C6A3C" w:rsidRPr="002C312C">
        <w:rPr>
          <w:rFonts w:ascii="Arial Narrow" w:hAnsi="Arial Narrow"/>
          <w:sz w:val="28"/>
          <w:szCs w:val="28"/>
        </w:rPr>
        <w:t>„</w:t>
      </w:r>
      <w:r w:rsidRPr="002C312C">
        <w:rPr>
          <w:rFonts w:ascii="Arial Narrow" w:hAnsi="Arial Narrow"/>
          <w:sz w:val="28"/>
          <w:szCs w:val="28"/>
        </w:rPr>
        <w:t xml:space="preserve">ТЕЦ </w:t>
      </w:r>
      <w:r w:rsidR="006145C6" w:rsidRPr="002C312C">
        <w:rPr>
          <w:rFonts w:ascii="Arial Narrow" w:hAnsi="Arial Narrow"/>
          <w:sz w:val="28"/>
          <w:szCs w:val="28"/>
        </w:rPr>
        <w:t>Марица Изток</w:t>
      </w:r>
      <w:r w:rsidR="007C6A3C" w:rsidRPr="002C312C">
        <w:rPr>
          <w:rFonts w:ascii="Arial Narrow" w:hAnsi="Arial Narrow"/>
          <w:sz w:val="28"/>
          <w:szCs w:val="28"/>
        </w:rPr>
        <w:t xml:space="preserve"> 2</w:t>
      </w:r>
      <w:r w:rsidR="006145C6" w:rsidRPr="002C312C">
        <w:rPr>
          <w:rFonts w:ascii="Arial Narrow" w:hAnsi="Arial Narrow"/>
          <w:sz w:val="28"/>
          <w:szCs w:val="28"/>
        </w:rPr>
        <w:t xml:space="preserve">“ </w:t>
      </w:r>
      <w:r w:rsidR="007C6A3C" w:rsidRPr="002C312C">
        <w:rPr>
          <w:rFonts w:ascii="Arial Narrow" w:hAnsi="Arial Narrow"/>
          <w:sz w:val="28"/>
          <w:szCs w:val="28"/>
        </w:rPr>
        <w:t>ЕАД</w:t>
      </w:r>
      <w:r w:rsidRPr="002C312C">
        <w:rPr>
          <w:rFonts w:ascii="Arial Narrow" w:hAnsi="Arial Narrow"/>
          <w:sz w:val="28"/>
          <w:szCs w:val="28"/>
        </w:rPr>
        <w:t xml:space="preserve"> на газ. Последвалите геополитически катаклизми само доказаха нашата </w:t>
      </w:r>
      <w:r w:rsidR="006145C6" w:rsidRPr="002C312C">
        <w:rPr>
          <w:rFonts w:ascii="Arial Narrow" w:hAnsi="Arial Narrow"/>
          <w:sz w:val="28"/>
          <w:szCs w:val="28"/>
        </w:rPr>
        <w:t>правота</w:t>
      </w:r>
      <w:r w:rsidRPr="002C312C">
        <w:rPr>
          <w:rFonts w:ascii="Arial Narrow" w:hAnsi="Arial Narrow"/>
          <w:sz w:val="28"/>
          <w:szCs w:val="28"/>
        </w:rPr>
        <w:t>.</w:t>
      </w:r>
    </w:p>
    <w:p w14:paraId="533E3966" w14:textId="77777777" w:rsidR="000C4E48" w:rsidRPr="002C312C" w:rsidRDefault="000C4E48" w:rsidP="00C237F0">
      <w:p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2C312C">
        <w:rPr>
          <w:rFonts w:ascii="Arial Narrow" w:hAnsi="Arial Narrow"/>
          <w:sz w:val="28"/>
          <w:szCs w:val="28"/>
        </w:rPr>
        <w:t>Публикуваният към момента вариант на Териториален план за справедлив преход на област Стара Загора сочи, че:</w:t>
      </w:r>
    </w:p>
    <w:p w14:paraId="690C8F02" w14:textId="23CDC9F1" w:rsidR="000C4E48" w:rsidRPr="002C312C" w:rsidRDefault="000C4E48" w:rsidP="000C4E48">
      <w:pPr>
        <w:pStyle w:val="ListParagraph"/>
        <w:numPr>
          <w:ilvl w:val="0"/>
          <w:numId w:val="1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2C312C">
        <w:rPr>
          <w:rFonts w:ascii="Arial Narrow" w:hAnsi="Arial Narrow"/>
          <w:sz w:val="28"/>
          <w:szCs w:val="28"/>
        </w:rPr>
        <w:t>Над 12 хил. работни места ще бъд</w:t>
      </w:r>
      <w:r w:rsidR="00CD5DE4" w:rsidRPr="002C312C">
        <w:rPr>
          <w:rFonts w:ascii="Arial Narrow" w:hAnsi="Arial Narrow"/>
          <w:sz w:val="28"/>
          <w:szCs w:val="28"/>
        </w:rPr>
        <w:t>ат затворени до 2026 г</w:t>
      </w:r>
      <w:r w:rsidRPr="002C312C">
        <w:rPr>
          <w:rFonts w:ascii="Arial Narrow" w:hAnsi="Arial Narrow"/>
          <w:sz w:val="28"/>
          <w:szCs w:val="28"/>
        </w:rPr>
        <w:t>. Допълнителни над 15 хил. работници ще останат без работа до 2038 г.</w:t>
      </w:r>
      <w:r w:rsidR="007C6A3C" w:rsidRPr="002C312C">
        <w:rPr>
          <w:rFonts w:ascii="Arial Narrow" w:hAnsi="Arial Narrow"/>
          <w:sz w:val="28"/>
          <w:szCs w:val="28"/>
        </w:rPr>
        <w:t>;</w:t>
      </w:r>
    </w:p>
    <w:p w14:paraId="03F3BC07" w14:textId="3F179610" w:rsidR="000C4E48" w:rsidRPr="002C312C" w:rsidRDefault="000C4E48" w:rsidP="000C4E48">
      <w:pPr>
        <w:pStyle w:val="ListParagraph"/>
        <w:numPr>
          <w:ilvl w:val="0"/>
          <w:numId w:val="1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2C312C">
        <w:rPr>
          <w:rFonts w:ascii="Arial Narrow" w:hAnsi="Arial Narrow"/>
          <w:sz w:val="28"/>
          <w:szCs w:val="28"/>
        </w:rPr>
        <w:t xml:space="preserve">Негативните социални ефекти ще засегнат също членовете на семействата на заетите, които са над 80 хил. души, както и непряко засегнатите работни места – над 22 </w:t>
      </w:r>
      <w:r w:rsidR="00CD5DE4" w:rsidRPr="002C312C">
        <w:rPr>
          <w:rFonts w:ascii="Arial Narrow" w:hAnsi="Arial Narrow"/>
          <w:sz w:val="28"/>
          <w:szCs w:val="28"/>
        </w:rPr>
        <w:t>хил. души. Кумулативно ще бъдат засегнати</w:t>
      </w:r>
      <w:r w:rsidRPr="002C312C">
        <w:rPr>
          <w:rFonts w:ascii="Arial Narrow" w:hAnsi="Arial Narrow"/>
          <w:sz w:val="28"/>
          <w:szCs w:val="28"/>
        </w:rPr>
        <w:t xml:space="preserve"> над 100 </w:t>
      </w:r>
      <w:r w:rsidR="00CD5DE4" w:rsidRPr="002C312C">
        <w:rPr>
          <w:rFonts w:ascii="Arial Narrow" w:hAnsi="Arial Narrow"/>
          <w:sz w:val="28"/>
          <w:szCs w:val="28"/>
        </w:rPr>
        <w:t>хил. души, като голяма част от тях ще загубят доходите си</w:t>
      </w:r>
      <w:r w:rsidR="007C6A3C" w:rsidRPr="002C312C">
        <w:rPr>
          <w:rFonts w:ascii="Arial Narrow" w:hAnsi="Arial Narrow"/>
          <w:sz w:val="28"/>
          <w:szCs w:val="28"/>
        </w:rPr>
        <w:t>;</w:t>
      </w:r>
    </w:p>
    <w:p w14:paraId="4683B7FD" w14:textId="6ED60012" w:rsidR="000C4E48" w:rsidRPr="002C312C" w:rsidRDefault="000C4E48" w:rsidP="000C4E48">
      <w:pPr>
        <w:pStyle w:val="ListParagraph"/>
        <w:numPr>
          <w:ilvl w:val="0"/>
          <w:numId w:val="1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2C312C">
        <w:rPr>
          <w:rFonts w:ascii="Arial Narrow" w:hAnsi="Arial Narrow"/>
          <w:sz w:val="28"/>
          <w:szCs w:val="28"/>
        </w:rPr>
        <w:t>Потенциалната загуба на брутна добавена стойност за областта ще бъде в размер на 877 млн. лв. на годишна база.</w:t>
      </w:r>
    </w:p>
    <w:p w14:paraId="4CA9B63F" w14:textId="4D56F275" w:rsidR="00C237F0" w:rsidRPr="002C312C" w:rsidRDefault="000C4E48" w:rsidP="00C237F0">
      <w:pPr>
        <w:tabs>
          <w:tab w:val="left" w:pos="6521"/>
        </w:tabs>
        <w:jc w:val="both"/>
        <w:rPr>
          <w:rFonts w:ascii="Arial Narrow" w:hAnsi="Arial Narrow"/>
          <w:b/>
          <w:sz w:val="28"/>
          <w:szCs w:val="28"/>
        </w:rPr>
      </w:pPr>
      <w:r w:rsidRPr="002C312C">
        <w:rPr>
          <w:rFonts w:ascii="Arial Narrow" w:hAnsi="Arial Narrow"/>
          <w:b/>
          <w:sz w:val="28"/>
          <w:szCs w:val="28"/>
        </w:rPr>
        <w:t xml:space="preserve">За </w:t>
      </w:r>
      <w:r w:rsidR="0042783D" w:rsidRPr="002C312C">
        <w:rPr>
          <w:rFonts w:ascii="Arial Narrow" w:hAnsi="Arial Narrow"/>
          <w:b/>
          <w:sz w:val="28"/>
          <w:szCs w:val="28"/>
        </w:rPr>
        <w:t>провеждане</w:t>
      </w:r>
      <w:r w:rsidRPr="002C312C">
        <w:rPr>
          <w:rFonts w:ascii="Arial Narrow" w:hAnsi="Arial Narrow"/>
          <w:b/>
          <w:sz w:val="28"/>
          <w:szCs w:val="28"/>
        </w:rPr>
        <w:t xml:space="preserve"> на справедлив </w:t>
      </w:r>
      <w:r w:rsidR="00881FD3" w:rsidRPr="002C312C">
        <w:rPr>
          <w:rFonts w:ascii="Arial Narrow" w:hAnsi="Arial Narrow"/>
          <w:b/>
          <w:sz w:val="28"/>
          <w:szCs w:val="28"/>
        </w:rPr>
        <w:t xml:space="preserve">зелен </w:t>
      </w:r>
      <w:r w:rsidR="00CD5DE4" w:rsidRPr="002C312C">
        <w:rPr>
          <w:rFonts w:ascii="Arial Narrow" w:hAnsi="Arial Narrow"/>
          <w:b/>
          <w:sz w:val="28"/>
          <w:szCs w:val="28"/>
        </w:rPr>
        <w:t>преход</w:t>
      </w:r>
      <w:r w:rsidRPr="002C312C">
        <w:rPr>
          <w:rFonts w:ascii="Arial Narrow" w:hAnsi="Arial Narrow"/>
          <w:b/>
          <w:sz w:val="28"/>
          <w:szCs w:val="28"/>
        </w:rPr>
        <w:t xml:space="preserve"> с грижа за човека </w:t>
      </w:r>
      <w:r w:rsidR="00C237F0" w:rsidRPr="002C312C">
        <w:rPr>
          <w:rFonts w:ascii="Arial Narrow" w:hAnsi="Arial Narrow"/>
          <w:b/>
          <w:sz w:val="28"/>
          <w:szCs w:val="28"/>
        </w:rPr>
        <w:t xml:space="preserve">КТ „Подкрепа” ще </w:t>
      </w:r>
      <w:r w:rsidRPr="002C312C">
        <w:rPr>
          <w:rFonts w:ascii="Arial Narrow" w:hAnsi="Arial Narrow"/>
          <w:b/>
          <w:sz w:val="28"/>
          <w:szCs w:val="28"/>
        </w:rPr>
        <w:t>продължава да се бори за</w:t>
      </w:r>
      <w:r w:rsidR="00C237F0" w:rsidRPr="002C312C">
        <w:rPr>
          <w:rFonts w:ascii="Arial Narrow" w:hAnsi="Arial Narrow"/>
          <w:b/>
          <w:sz w:val="28"/>
          <w:szCs w:val="28"/>
        </w:rPr>
        <w:t>:</w:t>
      </w:r>
    </w:p>
    <w:p w14:paraId="63F2B943" w14:textId="157689C4" w:rsidR="00745ED9" w:rsidRPr="002C312C" w:rsidRDefault="00CD5DE4" w:rsidP="00C237F0">
      <w:pPr>
        <w:pStyle w:val="ListParagraph"/>
        <w:numPr>
          <w:ilvl w:val="0"/>
          <w:numId w:val="2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2C312C">
        <w:rPr>
          <w:rFonts w:ascii="Arial Narrow" w:hAnsi="Arial Narrow"/>
          <w:sz w:val="28"/>
          <w:szCs w:val="28"/>
        </w:rPr>
        <w:t xml:space="preserve">Запазване дейността на енергийния </w:t>
      </w:r>
      <w:r w:rsidR="0042783D" w:rsidRPr="002C312C">
        <w:rPr>
          <w:rFonts w:ascii="Arial Narrow" w:hAnsi="Arial Narrow"/>
          <w:sz w:val="28"/>
          <w:szCs w:val="28"/>
        </w:rPr>
        <w:t>комплекс „Марица изток“, докато не бъдат намерени алтернативи за производство на достатъчно енергия, така че да се гарантира енергийната сигурност на България и доходите на заетите в комплекса.</w:t>
      </w:r>
    </w:p>
    <w:p w14:paraId="1C028B63" w14:textId="34E95F98" w:rsidR="0042783D" w:rsidRPr="002C312C" w:rsidRDefault="0042783D" w:rsidP="00C237F0">
      <w:pPr>
        <w:pStyle w:val="ListParagraph"/>
        <w:numPr>
          <w:ilvl w:val="0"/>
          <w:numId w:val="2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2C312C">
        <w:rPr>
          <w:rFonts w:ascii="Arial Narrow" w:hAnsi="Arial Narrow"/>
          <w:sz w:val="28"/>
          <w:szCs w:val="28"/>
        </w:rPr>
        <w:t>Да бъдат изготвени петгодишни планове за функционирането на „Мини Марица-изток“ ЕАД, като периодично се правят прегледи на съществуващите технологии и необходимото време за въвеждането им в експлоатация.</w:t>
      </w:r>
    </w:p>
    <w:p w14:paraId="45E9DB13" w14:textId="64B713EC" w:rsidR="0042783D" w:rsidRPr="002C312C" w:rsidRDefault="0042783D" w:rsidP="00C237F0">
      <w:pPr>
        <w:pStyle w:val="ListParagraph"/>
        <w:numPr>
          <w:ilvl w:val="0"/>
          <w:numId w:val="2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2C312C">
        <w:rPr>
          <w:rFonts w:ascii="Arial Narrow" w:hAnsi="Arial Narrow"/>
          <w:sz w:val="28"/>
          <w:szCs w:val="28"/>
        </w:rPr>
        <w:t>Финансова, ресурсна и кадрова обезпеченост на мините.</w:t>
      </w:r>
    </w:p>
    <w:p w14:paraId="2D8726D4" w14:textId="1EF19FFC" w:rsidR="0042783D" w:rsidRPr="002C312C" w:rsidRDefault="00E42253" w:rsidP="00C237F0">
      <w:pPr>
        <w:pStyle w:val="ListParagraph"/>
        <w:numPr>
          <w:ilvl w:val="0"/>
          <w:numId w:val="2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2C312C">
        <w:rPr>
          <w:rFonts w:ascii="Arial Narrow" w:hAnsi="Arial Narrow"/>
          <w:sz w:val="28"/>
          <w:szCs w:val="28"/>
        </w:rPr>
        <w:t>Изграждане на</w:t>
      </w:r>
      <w:r w:rsidR="0042783D" w:rsidRPr="002C312C">
        <w:rPr>
          <w:rFonts w:ascii="Arial Narrow" w:hAnsi="Arial Narrow"/>
          <w:sz w:val="28"/>
          <w:szCs w:val="28"/>
        </w:rPr>
        <w:t xml:space="preserve"> нови ядрени мощности с национални ресурси, така че приходите от продажбата на електроенергия да остават в България и да се ползват </w:t>
      </w:r>
      <w:r w:rsidR="00CD5DE4" w:rsidRPr="002C312C">
        <w:rPr>
          <w:rFonts w:ascii="Arial Narrow" w:hAnsi="Arial Narrow"/>
          <w:sz w:val="28"/>
          <w:szCs w:val="28"/>
        </w:rPr>
        <w:t xml:space="preserve">приоритетно </w:t>
      </w:r>
      <w:r w:rsidR="0042783D" w:rsidRPr="002C312C">
        <w:rPr>
          <w:rFonts w:ascii="Arial Narrow" w:hAnsi="Arial Narrow"/>
          <w:sz w:val="28"/>
          <w:szCs w:val="28"/>
        </w:rPr>
        <w:t>за задоволяване на нуждите на българските граждани.</w:t>
      </w:r>
    </w:p>
    <w:p w14:paraId="395D6241" w14:textId="589262B8" w:rsidR="0042783D" w:rsidRPr="002C312C" w:rsidRDefault="0042783D" w:rsidP="00C237F0">
      <w:pPr>
        <w:pStyle w:val="ListParagraph"/>
        <w:numPr>
          <w:ilvl w:val="0"/>
          <w:numId w:val="2"/>
        </w:numPr>
        <w:tabs>
          <w:tab w:val="left" w:pos="6521"/>
        </w:tabs>
        <w:jc w:val="both"/>
        <w:rPr>
          <w:rFonts w:ascii="Arial Narrow" w:hAnsi="Arial Narrow"/>
          <w:sz w:val="28"/>
          <w:szCs w:val="28"/>
        </w:rPr>
      </w:pPr>
      <w:r w:rsidRPr="002C312C">
        <w:rPr>
          <w:rFonts w:ascii="Arial Narrow" w:hAnsi="Arial Narrow"/>
          <w:sz w:val="28"/>
          <w:szCs w:val="28"/>
        </w:rPr>
        <w:t>Евентуалните заместващи енергийни и други предприятия да осигурят достойни условия на труд и заплащане на заетите в тях, като за целта в договорите с държавата и/или общините бъде заложено задължение за сключване на КТД с подобряващи се показатели.</w:t>
      </w:r>
    </w:p>
    <w:p w14:paraId="1CC38F25" w14:textId="77777777" w:rsidR="00207162" w:rsidRPr="002C312C" w:rsidRDefault="00207162" w:rsidP="00207162">
      <w:pPr>
        <w:pStyle w:val="ListParagraph"/>
        <w:tabs>
          <w:tab w:val="left" w:pos="6521"/>
        </w:tabs>
        <w:ind w:left="0"/>
        <w:jc w:val="both"/>
        <w:rPr>
          <w:rFonts w:ascii="Arial Narrow" w:hAnsi="Arial Narrow"/>
          <w:sz w:val="28"/>
          <w:szCs w:val="28"/>
        </w:rPr>
      </w:pPr>
    </w:p>
    <w:p w14:paraId="538C35A1" w14:textId="3DD2A4E8" w:rsidR="00E42253" w:rsidRPr="002C312C" w:rsidRDefault="00E42253" w:rsidP="00207162">
      <w:pPr>
        <w:pStyle w:val="ListParagraph"/>
        <w:tabs>
          <w:tab w:val="left" w:pos="6521"/>
        </w:tabs>
        <w:ind w:left="0"/>
        <w:jc w:val="both"/>
        <w:rPr>
          <w:rFonts w:ascii="Arial Narrow" w:hAnsi="Arial Narrow"/>
          <w:b/>
          <w:sz w:val="28"/>
          <w:szCs w:val="28"/>
        </w:rPr>
      </w:pPr>
      <w:r w:rsidRPr="002C312C">
        <w:rPr>
          <w:rFonts w:ascii="Arial Narrow" w:hAnsi="Arial Narrow"/>
          <w:sz w:val="28"/>
          <w:szCs w:val="28"/>
        </w:rPr>
        <w:t xml:space="preserve">Либерализацията на енергийния сектор за небитовите потребители, заплахата от либерализация за домакинствата </w:t>
      </w:r>
      <w:r w:rsidR="00CD5DE4" w:rsidRPr="002C312C">
        <w:rPr>
          <w:rFonts w:ascii="Arial Narrow" w:hAnsi="Arial Narrow"/>
          <w:sz w:val="28"/>
          <w:szCs w:val="28"/>
        </w:rPr>
        <w:t xml:space="preserve">(една самоцелна и идеологически мотивирана </w:t>
      </w:r>
      <w:r w:rsidR="007C6A3C" w:rsidRPr="002C312C">
        <w:rPr>
          <w:rFonts w:ascii="Arial Narrow" w:hAnsi="Arial Narrow"/>
          <w:sz w:val="28"/>
          <w:szCs w:val="28"/>
        </w:rPr>
        <w:t>политика на Европейския съюз</w:t>
      </w:r>
      <w:r w:rsidR="00CD5DE4" w:rsidRPr="002C312C">
        <w:rPr>
          <w:rFonts w:ascii="Arial Narrow" w:hAnsi="Arial Narrow"/>
          <w:sz w:val="28"/>
          <w:szCs w:val="28"/>
        </w:rPr>
        <w:t xml:space="preserve">) </w:t>
      </w:r>
      <w:r w:rsidRPr="002C312C">
        <w:rPr>
          <w:rFonts w:ascii="Arial Narrow" w:hAnsi="Arial Narrow"/>
          <w:sz w:val="28"/>
          <w:szCs w:val="28"/>
        </w:rPr>
        <w:t>в комбинация със зеления преход и геополитическите катаклизми задължават българските управляващи да вземат обмислени, отговорни решения с дългосрочен хор</w:t>
      </w:r>
      <w:bookmarkStart w:id="0" w:name="_GoBack"/>
      <w:bookmarkEnd w:id="0"/>
      <w:r w:rsidRPr="002C312C">
        <w:rPr>
          <w:rFonts w:ascii="Arial Narrow" w:hAnsi="Arial Narrow"/>
          <w:sz w:val="28"/>
          <w:szCs w:val="28"/>
        </w:rPr>
        <w:t xml:space="preserve">изонт. КТ „Подкрепа“ ще </w:t>
      </w:r>
      <w:r w:rsidRPr="002C312C">
        <w:rPr>
          <w:rFonts w:ascii="Arial Narrow" w:hAnsi="Arial Narrow"/>
          <w:sz w:val="28"/>
          <w:szCs w:val="28"/>
        </w:rPr>
        <w:lastRenderedPageBreak/>
        <w:t xml:space="preserve">продължава, както и досега, да бъде коректив </w:t>
      </w:r>
      <w:r w:rsidR="00CD5DE4" w:rsidRPr="002C312C">
        <w:rPr>
          <w:rFonts w:ascii="Arial Narrow" w:hAnsi="Arial Narrow"/>
          <w:sz w:val="28"/>
          <w:szCs w:val="28"/>
        </w:rPr>
        <w:t xml:space="preserve">на техните действия </w:t>
      </w:r>
      <w:r w:rsidRPr="002C312C">
        <w:rPr>
          <w:rFonts w:ascii="Arial Narrow" w:hAnsi="Arial Narrow"/>
          <w:sz w:val="28"/>
          <w:szCs w:val="28"/>
        </w:rPr>
        <w:t xml:space="preserve">и ще направи всичко </w:t>
      </w:r>
      <w:r w:rsidR="00CD5DE4" w:rsidRPr="002C312C">
        <w:rPr>
          <w:rFonts w:ascii="Arial Narrow" w:hAnsi="Arial Narrow"/>
          <w:sz w:val="28"/>
          <w:szCs w:val="28"/>
        </w:rPr>
        <w:t>възможно, за да възпира такива, застрашаващи</w:t>
      </w:r>
      <w:r w:rsidRPr="002C312C">
        <w:rPr>
          <w:rFonts w:ascii="Arial Narrow" w:hAnsi="Arial Narrow"/>
          <w:sz w:val="28"/>
          <w:szCs w:val="28"/>
        </w:rPr>
        <w:t xml:space="preserve"> енергийната и социална сигурност на страната и на българските работещи</w:t>
      </w:r>
      <w:r w:rsidR="00553D81" w:rsidRPr="002C312C">
        <w:rPr>
          <w:rFonts w:ascii="Arial Narrow" w:hAnsi="Arial Narrow"/>
          <w:sz w:val="28"/>
          <w:szCs w:val="28"/>
        </w:rPr>
        <w:t xml:space="preserve"> в частност</w:t>
      </w:r>
      <w:r w:rsidRPr="002C312C">
        <w:rPr>
          <w:rFonts w:ascii="Arial Narrow" w:hAnsi="Arial Narrow"/>
          <w:sz w:val="28"/>
          <w:szCs w:val="28"/>
        </w:rPr>
        <w:t>.</w:t>
      </w:r>
    </w:p>
    <w:p w14:paraId="3511BE9D" w14:textId="77777777" w:rsidR="006D29A6" w:rsidRPr="002C312C" w:rsidRDefault="006D29A6" w:rsidP="00207162">
      <w:pPr>
        <w:pStyle w:val="ListParagraph"/>
        <w:tabs>
          <w:tab w:val="left" w:pos="6521"/>
        </w:tabs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2B1510D7" w14:textId="4462683B" w:rsidR="001C0633" w:rsidRPr="002C312C" w:rsidRDefault="00FD22CE" w:rsidP="00207162">
      <w:pPr>
        <w:pStyle w:val="ListParagraph"/>
        <w:tabs>
          <w:tab w:val="left" w:pos="6521"/>
        </w:tabs>
        <w:ind w:left="0"/>
        <w:jc w:val="both"/>
        <w:rPr>
          <w:rFonts w:ascii="Arial Narrow" w:hAnsi="Arial Narrow"/>
          <w:b/>
          <w:sz w:val="28"/>
          <w:szCs w:val="28"/>
        </w:rPr>
      </w:pPr>
      <w:r w:rsidRPr="002C312C">
        <w:rPr>
          <w:rFonts w:ascii="Arial Narrow" w:hAnsi="Arial Narrow"/>
          <w:b/>
          <w:sz w:val="28"/>
          <w:szCs w:val="28"/>
        </w:rPr>
        <w:t xml:space="preserve">КТ „Подкрепа“ ще се бори за забрана на програмираното остаряване на стоките, което генерира печалби за милиардерите, но нанася </w:t>
      </w:r>
      <w:r w:rsidR="00CD5DE4" w:rsidRPr="002C312C">
        <w:rPr>
          <w:rFonts w:ascii="Arial Narrow" w:hAnsi="Arial Narrow"/>
          <w:b/>
          <w:sz w:val="28"/>
          <w:szCs w:val="28"/>
        </w:rPr>
        <w:t>тежки щети върху околната среда</w:t>
      </w:r>
      <w:r w:rsidRPr="002C312C">
        <w:rPr>
          <w:rFonts w:ascii="Arial Narrow" w:hAnsi="Arial Narrow"/>
          <w:b/>
          <w:sz w:val="28"/>
          <w:szCs w:val="28"/>
        </w:rPr>
        <w:t>. Същевременно ще отхвърляме всякакви планове за допълнително редуциране на парникови газове, направено за сметка на българските граждани. Защото Зелен преход без социална справедливост е просто поредният Преход!</w:t>
      </w:r>
    </w:p>
    <w:sectPr w:rsidR="001C0633" w:rsidRPr="002C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6565E" w14:textId="77777777" w:rsidR="001B7BB0" w:rsidRDefault="001B7BB0" w:rsidP="00D54E23">
      <w:pPr>
        <w:spacing w:after="0" w:line="240" w:lineRule="auto"/>
      </w:pPr>
      <w:r>
        <w:separator/>
      </w:r>
    </w:p>
  </w:endnote>
  <w:endnote w:type="continuationSeparator" w:id="0">
    <w:p w14:paraId="33B434A8" w14:textId="77777777" w:rsidR="001B7BB0" w:rsidRDefault="001B7BB0" w:rsidP="00D5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1AA3D" w14:textId="77777777" w:rsidR="001B7BB0" w:rsidRDefault="001B7BB0" w:rsidP="00D54E23">
      <w:pPr>
        <w:spacing w:after="0" w:line="240" w:lineRule="auto"/>
      </w:pPr>
      <w:r>
        <w:separator/>
      </w:r>
    </w:p>
  </w:footnote>
  <w:footnote w:type="continuationSeparator" w:id="0">
    <w:p w14:paraId="157A009B" w14:textId="77777777" w:rsidR="001B7BB0" w:rsidRDefault="001B7BB0" w:rsidP="00D54E23">
      <w:pPr>
        <w:spacing w:after="0" w:line="240" w:lineRule="auto"/>
      </w:pPr>
      <w:r>
        <w:continuationSeparator/>
      </w:r>
    </w:p>
  </w:footnote>
  <w:footnote w:id="1">
    <w:p w14:paraId="0F0F6817" w14:textId="1F65E3A8" w:rsidR="00682CFE" w:rsidRPr="002C312C" w:rsidRDefault="00682CFE">
      <w:pPr>
        <w:pStyle w:val="FootnoteText"/>
        <w:rPr>
          <w:rFonts w:ascii="Arial Narrow" w:hAnsi="Arial Narrow"/>
          <w:sz w:val="24"/>
          <w:szCs w:val="24"/>
        </w:rPr>
      </w:pPr>
      <w:r w:rsidRPr="002C312C">
        <w:rPr>
          <w:rStyle w:val="FootnoteReference"/>
          <w:rFonts w:ascii="Arial Narrow" w:hAnsi="Arial Narrow"/>
          <w:sz w:val="24"/>
          <w:szCs w:val="24"/>
        </w:rPr>
        <w:footnoteRef/>
      </w:r>
      <w:r w:rsidRPr="002C312C">
        <w:rPr>
          <w:rFonts w:ascii="Arial Narrow" w:hAnsi="Arial Narrow"/>
          <w:sz w:val="24"/>
          <w:szCs w:val="24"/>
        </w:rPr>
        <w:t xml:space="preserve"> Who has the most historical responsibility for climate change? </w:t>
      </w:r>
      <w:hyperlink r:id="rId1" w:history="1">
        <w:r w:rsidRPr="002C312C">
          <w:rPr>
            <w:rStyle w:val="Hyperlink"/>
            <w:rFonts w:ascii="Arial Narrow" w:hAnsi="Arial Narrow"/>
            <w:sz w:val="24"/>
            <w:szCs w:val="24"/>
          </w:rPr>
          <w:t>https://www.nytimes.com/interactive/2021/11/12/climate/cop26-emissions-compensation.html</w:t>
        </w:r>
      </w:hyperlink>
    </w:p>
  </w:footnote>
  <w:footnote w:id="2">
    <w:p w14:paraId="37093970" w14:textId="0C8C0610" w:rsidR="006D29A6" w:rsidRPr="002C312C" w:rsidRDefault="006D29A6" w:rsidP="006D29A6">
      <w:pPr>
        <w:pStyle w:val="FootnoteText"/>
        <w:rPr>
          <w:rFonts w:ascii="Arial Narrow" w:hAnsi="Arial Narrow"/>
          <w:sz w:val="24"/>
          <w:szCs w:val="24"/>
          <w:lang w:val="en-US"/>
        </w:rPr>
      </w:pPr>
      <w:r w:rsidRPr="002C312C">
        <w:rPr>
          <w:rStyle w:val="FootnoteReference"/>
          <w:rFonts w:ascii="Arial Narrow" w:hAnsi="Arial Narrow"/>
          <w:sz w:val="24"/>
          <w:szCs w:val="24"/>
        </w:rPr>
        <w:footnoteRef/>
      </w:r>
      <w:r w:rsidRPr="002C312C">
        <w:rPr>
          <w:rFonts w:ascii="Arial Narrow" w:hAnsi="Arial Narrow"/>
          <w:sz w:val="24"/>
          <w:szCs w:val="24"/>
          <w:lang w:val="en-US"/>
        </w:rPr>
        <w:t>N</w:t>
      </w:r>
      <w:r w:rsidRPr="002C312C">
        <w:rPr>
          <w:rFonts w:ascii="Arial Narrow" w:hAnsi="Arial Narrow"/>
          <w:sz w:val="24"/>
          <w:szCs w:val="24"/>
        </w:rPr>
        <w:t xml:space="preserve">ational inventory report 2021 </w:t>
      </w:r>
      <w:r w:rsidRPr="002C312C">
        <w:rPr>
          <w:rFonts w:ascii="Arial Narrow" w:hAnsi="Arial Narrow"/>
          <w:sz w:val="24"/>
          <w:szCs w:val="24"/>
          <w:lang w:val="en-US"/>
        </w:rPr>
        <w:t>G</w:t>
      </w:r>
      <w:r w:rsidRPr="002C312C">
        <w:rPr>
          <w:rFonts w:ascii="Arial Narrow" w:hAnsi="Arial Narrow"/>
          <w:sz w:val="24"/>
          <w:szCs w:val="24"/>
        </w:rPr>
        <w:t xml:space="preserve">reenhouse gas emissions in </w:t>
      </w:r>
      <w:r w:rsidRPr="002C312C">
        <w:rPr>
          <w:rFonts w:ascii="Arial Narrow" w:hAnsi="Arial Narrow"/>
          <w:sz w:val="24"/>
          <w:szCs w:val="24"/>
          <w:lang w:val="en-US"/>
        </w:rPr>
        <w:t>B</w:t>
      </w:r>
      <w:r w:rsidRPr="002C312C">
        <w:rPr>
          <w:rFonts w:ascii="Arial Narrow" w:hAnsi="Arial Narrow"/>
          <w:sz w:val="24"/>
          <w:szCs w:val="24"/>
        </w:rPr>
        <w:t>ulgaria 1988-2019</w:t>
      </w:r>
      <w:r w:rsidRPr="002C312C">
        <w:rPr>
          <w:rFonts w:ascii="Arial Narrow" w:hAnsi="Arial Narrow"/>
          <w:sz w:val="24"/>
          <w:szCs w:val="24"/>
          <w:lang w:val="en-US"/>
        </w:rPr>
        <w:t>, p. 55</w:t>
      </w:r>
    </w:p>
  </w:footnote>
  <w:footnote w:id="3">
    <w:p w14:paraId="52922848" w14:textId="3B53A3E0" w:rsidR="008F4C06" w:rsidRPr="002C312C" w:rsidRDefault="008F4C06">
      <w:pPr>
        <w:pStyle w:val="FootnoteText"/>
        <w:rPr>
          <w:rFonts w:ascii="Arial Narrow" w:hAnsi="Arial Narrow"/>
          <w:sz w:val="24"/>
          <w:szCs w:val="24"/>
        </w:rPr>
      </w:pPr>
      <w:r w:rsidRPr="002C312C">
        <w:rPr>
          <w:rStyle w:val="FootnoteReference"/>
          <w:rFonts w:ascii="Arial Narrow" w:hAnsi="Arial Narrow"/>
          <w:sz w:val="24"/>
          <w:szCs w:val="24"/>
        </w:rPr>
        <w:footnoteRef/>
      </w:r>
      <w:r w:rsidRPr="002C312C">
        <w:rPr>
          <w:rFonts w:ascii="Arial Narrow" w:hAnsi="Arial Narrow"/>
          <w:sz w:val="24"/>
          <w:szCs w:val="24"/>
        </w:rPr>
        <w:t xml:space="preserve"> </w:t>
      </w:r>
      <w:r w:rsidRPr="002C312C">
        <w:rPr>
          <w:rFonts w:ascii="Arial Narrow" w:hAnsi="Arial Narrow"/>
          <w:sz w:val="24"/>
          <w:szCs w:val="24"/>
        </w:rPr>
        <w:t xml:space="preserve">Действия на ЕС в областта на енергетиката и изменението на климата </w:t>
      </w:r>
      <w:hyperlink r:id="rId2" w:history="1">
        <w:r w:rsidRPr="002C312C">
          <w:rPr>
            <w:rStyle w:val="Hyperlink"/>
            <w:rFonts w:ascii="Arial Narrow" w:hAnsi="Arial Narrow"/>
            <w:sz w:val="24"/>
            <w:szCs w:val="24"/>
          </w:rPr>
          <w:t>https://op.europa.eu/webpub/eca/lr-energy-and-climate/bg/</w:t>
        </w:r>
      </w:hyperlink>
      <w:r w:rsidRPr="002C312C">
        <w:rPr>
          <w:rFonts w:ascii="Arial Narrow" w:hAnsi="Arial Narrow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0CE7"/>
    <w:multiLevelType w:val="hybridMultilevel"/>
    <w:tmpl w:val="B35C5EB8"/>
    <w:lvl w:ilvl="0" w:tplc="40580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C0B1B"/>
    <w:multiLevelType w:val="hybridMultilevel"/>
    <w:tmpl w:val="6664A9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15"/>
    <w:rsid w:val="000A0060"/>
    <w:rsid w:val="000B708D"/>
    <w:rsid w:val="000C4E48"/>
    <w:rsid w:val="0010132E"/>
    <w:rsid w:val="001B7BB0"/>
    <w:rsid w:val="001C0633"/>
    <w:rsid w:val="001C7E6B"/>
    <w:rsid w:val="001D0CCC"/>
    <w:rsid w:val="00207162"/>
    <w:rsid w:val="002C312C"/>
    <w:rsid w:val="003436E7"/>
    <w:rsid w:val="0039271E"/>
    <w:rsid w:val="003D3D8C"/>
    <w:rsid w:val="00407B46"/>
    <w:rsid w:val="0042783D"/>
    <w:rsid w:val="00454571"/>
    <w:rsid w:val="004968FB"/>
    <w:rsid w:val="004D4B93"/>
    <w:rsid w:val="004F2615"/>
    <w:rsid w:val="00543DE1"/>
    <w:rsid w:val="00553D81"/>
    <w:rsid w:val="00554764"/>
    <w:rsid w:val="006145C6"/>
    <w:rsid w:val="00682CFE"/>
    <w:rsid w:val="006D29A6"/>
    <w:rsid w:val="00745ED9"/>
    <w:rsid w:val="007C6A3C"/>
    <w:rsid w:val="007D2FFB"/>
    <w:rsid w:val="008743BA"/>
    <w:rsid w:val="00881FD3"/>
    <w:rsid w:val="008F4C06"/>
    <w:rsid w:val="009A24A6"/>
    <w:rsid w:val="009F4929"/>
    <w:rsid w:val="00A226FF"/>
    <w:rsid w:val="00AC4B15"/>
    <w:rsid w:val="00AF2F63"/>
    <w:rsid w:val="00B23405"/>
    <w:rsid w:val="00B555DA"/>
    <w:rsid w:val="00C237F0"/>
    <w:rsid w:val="00C60F38"/>
    <w:rsid w:val="00CB6FE1"/>
    <w:rsid w:val="00CD0271"/>
    <w:rsid w:val="00CD5DE4"/>
    <w:rsid w:val="00D414AA"/>
    <w:rsid w:val="00D54E23"/>
    <w:rsid w:val="00D630D6"/>
    <w:rsid w:val="00E178D9"/>
    <w:rsid w:val="00E24621"/>
    <w:rsid w:val="00E42253"/>
    <w:rsid w:val="00ED3EFD"/>
    <w:rsid w:val="00F15BAE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C73F"/>
  <w15:docId w15:val="{71184DD0-AD62-44FC-BA5D-16C73149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B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4E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E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4E2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4E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2C"/>
  </w:style>
  <w:style w:type="paragraph" w:styleId="Footer">
    <w:name w:val="footer"/>
    <w:basedOn w:val="Normal"/>
    <w:link w:val="FooterChar"/>
    <w:uiPriority w:val="99"/>
    <w:unhideWhenUsed/>
    <w:rsid w:val="002C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p.europa.eu/webpub/eca/lr-energy-and-climate/bg/" TargetMode="External"/><Relationship Id="rId1" Type="http://schemas.openxmlformats.org/officeDocument/2006/relationships/hyperlink" Target="https://www.nytimes.com/interactive/2021/11/12/climate/cop26-emissions-compens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8F60-4C6C-49F4-8C3E-5A93789E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 Podkrepa</dc:creator>
  <cp:lastModifiedBy>osp</cp:lastModifiedBy>
  <cp:revision>5</cp:revision>
  <dcterms:created xsi:type="dcterms:W3CDTF">2022-12-11T09:06:00Z</dcterms:created>
  <dcterms:modified xsi:type="dcterms:W3CDTF">2023-01-05T11:18:00Z</dcterms:modified>
</cp:coreProperties>
</file>