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788B" w:rsidRDefault="0038788B" w:rsidP="0038788B">
      <w:pPr>
        <w:ind w:left="5529"/>
        <w:rPr>
          <w:rFonts w:asciiTheme="minorHAnsi" w:hAnsiTheme="minorHAnsi"/>
          <w:b/>
          <w:sz w:val="24"/>
          <w:szCs w:val="24"/>
          <w:lang w:val="bg-BG"/>
        </w:rPr>
      </w:pPr>
      <w:r w:rsidRPr="00E009DD">
        <w:rPr>
          <w:rFonts w:asciiTheme="minorHAnsi" w:hAnsiTheme="minorHAnsi"/>
          <w:b/>
          <w:sz w:val="24"/>
          <w:szCs w:val="24"/>
          <w:lang w:val="bg-BG"/>
        </w:rPr>
        <w:t>ДО</w:t>
      </w:r>
    </w:p>
    <w:p w:rsidR="0038788B" w:rsidRDefault="0038788B" w:rsidP="0038788B">
      <w:pPr>
        <w:ind w:left="5529"/>
        <w:rPr>
          <w:rFonts w:asciiTheme="minorHAnsi" w:hAnsiTheme="minorHAnsi"/>
          <w:b/>
          <w:sz w:val="24"/>
          <w:szCs w:val="24"/>
          <w:lang w:val="bg-BG"/>
        </w:rPr>
      </w:pPr>
      <w:r>
        <w:rPr>
          <w:rFonts w:asciiTheme="minorHAnsi" w:hAnsiTheme="minorHAnsi"/>
          <w:b/>
          <w:sz w:val="24"/>
          <w:szCs w:val="24"/>
          <w:lang w:val="bg-BG"/>
        </w:rPr>
        <w:t>Г-Н ВАЛЕРИ СИМЕОНОВ</w:t>
      </w:r>
    </w:p>
    <w:p w:rsidR="0038788B" w:rsidRPr="00E009DD" w:rsidRDefault="0038788B" w:rsidP="0038788B">
      <w:pPr>
        <w:ind w:left="5529"/>
        <w:rPr>
          <w:rFonts w:asciiTheme="minorHAnsi" w:hAnsiTheme="minorHAnsi"/>
          <w:b/>
          <w:sz w:val="24"/>
          <w:szCs w:val="24"/>
          <w:lang w:val="bg-BG"/>
        </w:rPr>
      </w:pPr>
    </w:p>
    <w:p w:rsidR="0038788B" w:rsidRDefault="0038788B" w:rsidP="0038788B">
      <w:pPr>
        <w:ind w:left="5529"/>
        <w:rPr>
          <w:rFonts w:asciiTheme="minorHAnsi" w:hAnsiTheme="minorHAnsi"/>
          <w:b/>
          <w:sz w:val="24"/>
          <w:szCs w:val="24"/>
          <w:lang w:val="bg-BG"/>
        </w:rPr>
      </w:pPr>
      <w:r>
        <w:rPr>
          <w:rFonts w:asciiTheme="minorHAnsi" w:hAnsiTheme="minorHAnsi"/>
          <w:b/>
          <w:sz w:val="24"/>
          <w:szCs w:val="24"/>
          <w:lang w:val="bg-BG"/>
        </w:rPr>
        <w:t>ПРЕДСЕДАТЕЛ НА НАЦИОНАЛНИЯ СЪВЕТ ЗА ТРИСТРАННО СЪТРУДНИЧЕСТВО</w:t>
      </w:r>
    </w:p>
    <w:p w:rsidR="00763B6D" w:rsidRPr="00E009DD" w:rsidRDefault="00763B6D" w:rsidP="00763B6D">
      <w:pPr>
        <w:jc w:val="center"/>
        <w:rPr>
          <w:rFonts w:asciiTheme="minorHAnsi" w:hAnsiTheme="minorHAnsi"/>
          <w:b/>
          <w:sz w:val="24"/>
          <w:szCs w:val="24"/>
          <w:lang w:val="bg-BG"/>
        </w:rPr>
      </w:pPr>
    </w:p>
    <w:p w:rsidR="00763B6D" w:rsidRPr="00E009DD" w:rsidRDefault="00763B6D" w:rsidP="00763B6D">
      <w:pPr>
        <w:jc w:val="center"/>
        <w:rPr>
          <w:rFonts w:asciiTheme="minorHAnsi" w:hAnsiTheme="minorHAnsi"/>
          <w:b/>
          <w:sz w:val="24"/>
          <w:szCs w:val="24"/>
          <w:lang w:val="bg-BG"/>
        </w:rPr>
      </w:pPr>
    </w:p>
    <w:p w:rsidR="00763B6D" w:rsidRPr="00E009DD" w:rsidRDefault="00763B6D" w:rsidP="00763B6D">
      <w:pPr>
        <w:jc w:val="center"/>
        <w:rPr>
          <w:rFonts w:asciiTheme="minorHAnsi" w:hAnsiTheme="minorHAnsi"/>
          <w:b/>
          <w:sz w:val="24"/>
          <w:szCs w:val="24"/>
          <w:lang w:val="bg-BG"/>
        </w:rPr>
      </w:pPr>
    </w:p>
    <w:p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С Т А Н О В И Щ Е</w:t>
      </w:r>
    </w:p>
    <w:p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на Конфедерация на труда „Подкрепа“</w:t>
      </w:r>
    </w:p>
    <w:p w:rsidR="00763B6D" w:rsidRPr="00E009DD" w:rsidRDefault="00763B6D" w:rsidP="00D11CFE">
      <w:pPr>
        <w:ind w:left="426" w:right="272"/>
        <w:jc w:val="center"/>
        <w:rPr>
          <w:rFonts w:asciiTheme="minorHAnsi" w:hAnsiTheme="minorHAnsi"/>
          <w:sz w:val="24"/>
          <w:szCs w:val="24"/>
          <w:lang w:val="bg-BG"/>
        </w:rPr>
      </w:pPr>
      <w:r w:rsidRPr="00E009DD">
        <w:rPr>
          <w:rFonts w:asciiTheme="minorHAnsi" w:hAnsiTheme="minorHAnsi"/>
          <w:b/>
          <w:sz w:val="24"/>
          <w:szCs w:val="24"/>
          <w:lang w:val="bg-BG"/>
        </w:rPr>
        <w:t xml:space="preserve">Относно: </w:t>
      </w:r>
      <w:r w:rsidR="00910066">
        <w:rPr>
          <w:rFonts w:asciiTheme="minorHAnsi" w:hAnsiTheme="minorHAnsi"/>
          <w:sz w:val="24"/>
          <w:szCs w:val="24"/>
          <w:lang w:val="bg-BG"/>
        </w:rPr>
        <w:t>Проект</w:t>
      </w:r>
      <w:r w:rsidR="00136D7D">
        <w:rPr>
          <w:rFonts w:asciiTheme="minorHAnsi" w:hAnsiTheme="minorHAnsi"/>
          <w:sz w:val="24"/>
          <w:szCs w:val="24"/>
          <w:lang w:val="bg-BG"/>
        </w:rPr>
        <w:t xml:space="preserve"> на</w:t>
      </w:r>
      <w:r w:rsidR="0038788B">
        <w:rPr>
          <w:rFonts w:asciiTheme="minorHAnsi" w:hAnsiTheme="minorHAnsi"/>
          <w:sz w:val="24"/>
          <w:szCs w:val="24"/>
          <w:lang w:val="bg-BG"/>
        </w:rPr>
        <w:t xml:space="preserve"> Закон</w:t>
      </w:r>
      <w:r w:rsidR="0066416C">
        <w:rPr>
          <w:rFonts w:asciiTheme="minorHAnsi" w:hAnsiTheme="minorHAnsi"/>
          <w:sz w:val="24"/>
          <w:szCs w:val="24"/>
          <w:lang w:val="bg-BG"/>
        </w:rPr>
        <w:t xml:space="preserve"> за </w:t>
      </w:r>
      <w:r w:rsidR="00EF1563">
        <w:rPr>
          <w:rFonts w:asciiTheme="minorHAnsi" w:hAnsiTheme="minorHAnsi"/>
          <w:sz w:val="24"/>
          <w:szCs w:val="24"/>
          <w:lang w:val="bg-BG"/>
        </w:rPr>
        <w:t>социалните услуги</w:t>
      </w:r>
    </w:p>
    <w:p w:rsidR="00763B6D" w:rsidRPr="00E009DD" w:rsidRDefault="00763B6D" w:rsidP="00D11CFE">
      <w:pPr>
        <w:ind w:left="426" w:right="272"/>
        <w:rPr>
          <w:rFonts w:asciiTheme="minorHAnsi" w:hAnsiTheme="minorHAnsi"/>
          <w:sz w:val="24"/>
          <w:szCs w:val="24"/>
          <w:lang w:val="bg-BG"/>
        </w:rPr>
      </w:pPr>
    </w:p>
    <w:p w:rsidR="00763B6D" w:rsidRPr="00E009DD" w:rsidRDefault="00763B6D" w:rsidP="00D11CFE">
      <w:pPr>
        <w:ind w:left="426" w:right="272"/>
        <w:rPr>
          <w:rFonts w:asciiTheme="minorHAnsi" w:hAnsiTheme="minorHAnsi"/>
          <w:sz w:val="24"/>
          <w:szCs w:val="24"/>
          <w:lang w:val="bg-BG"/>
        </w:rPr>
      </w:pPr>
      <w:bookmarkStart w:id="0" w:name="_GoBack"/>
    </w:p>
    <w:bookmarkEnd w:id="0"/>
    <w:p w:rsidR="0066416C" w:rsidRPr="00E009DD" w:rsidRDefault="0038788B" w:rsidP="006B112F">
      <w:pPr>
        <w:ind w:left="426" w:right="272" w:firstLine="708"/>
        <w:rPr>
          <w:rFonts w:asciiTheme="minorHAnsi" w:hAnsiTheme="minorHAnsi"/>
          <w:b/>
          <w:sz w:val="24"/>
          <w:szCs w:val="24"/>
          <w:lang w:val="bg-BG"/>
        </w:rPr>
      </w:pPr>
      <w:r w:rsidRPr="00E009DD">
        <w:rPr>
          <w:rFonts w:asciiTheme="minorHAnsi" w:hAnsiTheme="minorHAnsi"/>
          <w:b/>
          <w:sz w:val="24"/>
          <w:szCs w:val="24"/>
          <w:lang w:val="bg-BG"/>
        </w:rPr>
        <w:t xml:space="preserve">УВАЖАЕМИ Г-Н </w:t>
      </w:r>
      <w:r>
        <w:rPr>
          <w:rFonts w:asciiTheme="minorHAnsi" w:hAnsiTheme="minorHAnsi"/>
          <w:b/>
          <w:sz w:val="24"/>
          <w:szCs w:val="24"/>
          <w:lang w:val="bg-BG"/>
        </w:rPr>
        <w:t>СИМЕОНОВ</w:t>
      </w:r>
      <w:r w:rsidRPr="00E009DD">
        <w:rPr>
          <w:rFonts w:asciiTheme="minorHAnsi" w:hAnsiTheme="minorHAnsi"/>
          <w:b/>
          <w:sz w:val="24"/>
          <w:szCs w:val="24"/>
          <w:lang w:val="bg-BG"/>
        </w:rPr>
        <w:t>,</w:t>
      </w:r>
    </w:p>
    <w:p w:rsidR="00763B6D" w:rsidRPr="00763B6D" w:rsidRDefault="00763B6D" w:rsidP="00D11CFE">
      <w:pPr>
        <w:ind w:left="426" w:right="272"/>
        <w:rPr>
          <w:rFonts w:asciiTheme="minorHAnsi" w:hAnsiTheme="minorHAnsi"/>
          <w:b/>
          <w:sz w:val="28"/>
          <w:szCs w:val="28"/>
          <w:lang w:val="bg-BG"/>
        </w:rPr>
      </w:pPr>
    </w:p>
    <w:p w:rsidR="00921B31" w:rsidRDefault="00921B31" w:rsidP="00D11CFE">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След детайлен преглед на проекта на Закон за социалните услуги, </w:t>
      </w:r>
      <w:r w:rsidR="00910066">
        <w:rPr>
          <w:rFonts w:asciiTheme="minorHAnsi" w:hAnsiTheme="minorHAnsi"/>
          <w:sz w:val="24"/>
          <w:szCs w:val="24"/>
          <w:lang w:val="bg-BG"/>
        </w:rPr>
        <w:t xml:space="preserve">КТ „Подкрепа“ </w:t>
      </w:r>
      <w:r>
        <w:rPr>
          <w:rFonts w:asciiTheme="minorHAnsi" w:hAnsiTheme="minorHAnsi"/>
          <w:sz w:val="24"/>
          <w:szCs w:val="24"/>
          <w:lang w:val="bg-BG"/>
        </w:rPr>
        <w:t xml:space="preserve">заявява, че не може да подкрепи нов закон, който за пореден път затвърждава дистанцирането на държавата и общините от нуждите на уязвимите български граждани. </w:t>
      </w:r>
      <w:r w:rsidR="00E6799A">
        <w:rPr>
          <w:rFonts w:asciiTheme="minorHAnsi" w:hAnsiTheme="minorHAnsi"/>
          <w:sz w:val="24"/>
          <w:szCs w:val="24"/>
          <w:lang w:val="bg-BG"/>
        </w:rPr>
        <w:t>В този проектозакон са пренесени всички текстове от Закона за социалното подпомагане, които дават възможност на частни структури да „предоставят социални услуги“. Или както е записано в мотивите: „създава се</w:t>
      </w:r>
      <w:r w:rsidR="00E6799A" w:rsidRPr="00E6799A">
        <w:rPr>
          <w:rFonts w:asciiTheme="minorHAnsi" w:hAnsiTheme="minorHAnsi"/>
          <w:sz w:val="24"/>
          <w:szCs w:val="24"/>
          <w:lang w:val="bg-BG"/>
        </w:rPr>
        <w:t xml:space="preserve"> първата възможност</w:t>
      </w:r>
      <w:r w:rsidR="00E6799A">
        <w:rPr>
          <w:rFonts w:asciiTheme="minorHAnsi" w:hAnsiTheme="minorHAnsi"/>
          <w:sz w:val="24"/>
          <w:szCs w:val="24"/>
          <w:lang w:val="bg-BG"/>
        </w:rPr>
        <w:t xml:space="preserve"> за частна инициатива в сектора</w:t>
      </w:r>
      <w:r w:rsidR="00E6799A" w:rsidRPr="00E6799A">
        <w:rPr>
          <w:rFonts w:asciiTheme="minorHAnsi" w:hAnsiTheme="minorHAnsi"/>
          <w:sz w:val="24"/>
          <w:szCs w:val="24"/>
          <w:lang w:val="bg-BG"/>
        </w:rPr>
        <w:t>“</w:t>
      </w:r>
      <w:r w:rsidR="00E6799A">
        <w:rPr>
          <w:rFonts w:asciiTheme="minorHAnsi" w:hAnsiTheme="minorHAnsi"/>
          <w:sz w:val="24"/>
          <w:szCs w:val="24"/>
          <w:lang w:val="bg-BG"/>
        </w:rPr>
        <w:t>.</w:t>
      </w:r>
    </w:p>
    <w:p w:rsidR="00E6799A" w:rsidRDefault="00573FDB" w:rsidP="00D11CFE">
      <w:pPr>
        <w:ind w:left="426" w:right="272" w:firstLine="708"/>
        <w:jc w:val="both"/>
        <w:rPr>
          <w:rFonts w:asciiTheme="minorHAnsi" w:hAnsiTheme="minorHAnsi"/>
          <w:sz w:val="24"/>
          <w:szCs w:val="24"/>
          <w:lang w:val="bg-BG"/>
        </w:rPr>
      </w:pPr>
      <w:r>
        <w:rPr>
          <w:rFonts w:asciiTheme="minorHAnsi" w:hAnsiTheme="minorHAnsi"/>
          <w:sz w:val="24"/>
          <w:szCs w:val="24"/>
          <w:lang w:val="bg-BG"/>
        </w:rPr>
        <w:t>Как това ще реши основния</w:t>
      </w:r>
      <w:r w:rsidR="00E6799A">
        <w:rPr>
          <w:rFonts w:asciiTheme="minorHAnsi" w:hAnsiTheme="minorHAnsi"/>
          <w:sz w:val="24"/>
          <w:szCs w:val="24"/>
          <w:lang w:val="bg-BG"/>
        </w:rPr>
        <w:t xml:space="preserve"> проблем във въпросния сектор, посочен отново в мотивите, а именно </w:t>
      </w:r>
      <w:r w:rsidR="00E6799A" w:rsidRPr="00E6799A">
        <w:rPr>
          <w:rFonts w:asciiTheme="minorHAnsi" w:hAnsiTheme="minorHAnsi"/>
          <w:b/>
          <w:sz w:val="24"/>
          <w:szCs w:val="24"/>
          <w:lang w:val="bg-BG"/>
        </w:rPr>
        <w:t>трудностите при наемането на квалифицирани кадри в сектора на социалните услуги, включително и поради ниските възнаграждения</w:t>
      </w:r>
      <w:r w:rsidR="00E6799A">
        <w:rPr>
          <w:rFonts w:asciiTheme="minorHAnsi" w:hAnsiTheme="minorHAnsi"/>
          <w:sz w:val="24"/>
          <w:szCs w:val="24"/>
          <w:lang w:val="bg-BG"/>
        </w:rPr>
        <w:t>, не става ясно. За сметка на това, като базово достижение на проектозакона се сочат шансовете за развиване на „публично-частно  партньорство“.</w:t>
      </w:r>
    </w:p>
    <w:p w:rsidR="00573FDB" w:rsidRDefault="00573FDB" w:rsidP="00573FDB">
      <w:pPr>
        <w:ind w:left="426" w:right="272" w:firstLine="708"/>
        <w:jc w:val="both"/>
        <w:rPr>
          <w:rFonts w:asciiTheme="minorHAnsi" w:hAnsiTheme="minorHAnsi"/>
          <w:sz w:val="24"/>
          <w:szCs w:val="24"/>
          <w:lang w:val="bg-BG"/>
        </w:rPr>
      </w:pPr>
      <w:r>
        <w:rPr>
          <w:rFonts w:asciiTheme="minorHAnsi" w:hAnsiTheme="minorHAnsi"/>
          <w:sz w:val="24"/>
          <w:szCs w:val="24"/>
          <w:lang w:val="bg-BG"/>
        </w:rPr>
        <w:t>А трудностите са следните: социалните работници т</w:t>
      </w:r>
      <w:r w:rsidRPr="00573FDB">
        <w:rPr>
          <w:rFonts w:asciiTheme="minorHAnsi" w:hAnsiTheme="minorHAnsi"/>
          <w:sz w:val="24"/>
          <w:szCs w:val="24"/>
          <w:lang w:val="bg-BG"/>
        </w:rPr>
        <w:t xml:space="preserve">рябва да се грижат за социално слабите български граждани, но реално те са социално слаби. Заетите в Агенцията за социално подпомагане </w:t>
      </w:r>
      <w:r w:rsidR="00830299">
        <w:rPr>
          <w:rFonts w:asciiTheme="minorHAnsi" w:hAnsiTheme="minorHAnsi"/>
          <w:sz w:val="24"/>
          <w:szCs w:val="24"/>
          <w:lang w:val="bg-BG"/>
        </w:rPr>
        <w:t xml:space="preserve">вероятно </w:t>
      </w:r>
      <w:r w:rsidRPr="00573FDB">
        <w:rPr>
          <w:rFonts w:asciiTheme="minorHAnsi" w:hAnsiTheme="minorHAnsi"/>
          <w:sz w:val="24"/>
          <w:szCs w:val="24"/>
          <w:lang w:val="bg-BG"/>
        </w:rPr>
        <w:t xml:space="preserve">са </w:t>
      </w:r>
      <w:r w:rsidR="00830299">
        <w:rPr>
          <w:rFonts w:asciiTheme="minorHAnsi" w:hAnsiTheme="minorHAnsi"/>
          <w:sz w:val="24"/>
          <w:szCs w:val="24"/>
          <w:lang w:val="bg-BG"/>
        </w:rPr>
        <w:t>не повече от 4000 и трябва да контактуват активно с всички нуждаещи   се български граждани</w:t>
      </w:r>
      <w:r w:rsidR="00FE69CB">
        <w:rPr>
          <w:rFonts w:asciiTheme="minorHAnsi" w:hAnsiTheme="minorHAnsi"/>
          <w:sz w:val="24"/>
          <w:szCs w:val="24"/>
          <w:lang w:val="bg-BG"/>
        </w:rPr>
        <w:t xml:space="preserve"> на територията на страната</w:t>
      </w:r>
      <w:r w:rsidR="00830299">
        <w:rPr>
          <w:rFonts w:asciiTheme="minorHAnsi" w:hAnsiTheme="minorHAnsi"/>
          <w:sz w:val="24"/>
          <w:szCs w:val="24"/>
          <w:lang w:val="bg-BG"/>
        </w:rPr>
        <w:t>. Ако сравняваме със средноевропейските нива, делът на българите, които живеят в тежки материални лишения, е най-висок</w:t>
      </w:r>
      <w:r w:rsidR="00BA532F">
        <w:rPr>
          <w:rFonts w:asciiTheme="minorHAnsi" w:hAnsiTheme="minorHAnsi"/>
          <w:sz w:val="24"/>
          <w:szCs w:val="24"/>
          <w:lang w:val="bg-BG"/>
        </w:rPr>
        <w:t>, следователно работата на социалните работници е далеч по-интензивна</w:t>
      </w:r>
      <w:r w:rsidR="00830299">
        <w:rPr>
          <w:rFonts w:asciiTheme="minorHAnsi" w:hAnsiTheme="minorHAnsi"/>
          <w:sz w:val="24"/>
          <w:szCs w:val="24"/>
          <w:lang w:val="bg-BG"/>
        </w:rPr>
        <w:t>. Същевременно</w:t>
      </w:r>
      <w:r w:rsidRPr="00573FDB">
        <w:rPr>
          <w:rFonts w:asciiTheme="minorHAnsi" w:hAnsiTheme="minorHAnsi"/>
          <w:sz w:val="24"/>
          <w:szCs w:val="24"/>
          <w:lang w:val="bg-BG"/>
        </w:rPr>
        <w:t xml:space="preserve"> активните регистрирани доставчици на социални услуги са над 1800. Колко служители имат те, не е ясно, но са няколко пъти повече от заетите в държавната структура. </w:t>
      </w:r>
      <w:r w:rsidR="00BA532F">
        <w:rPr>
          <w:rFonts w:asciiTheme="minorHAnsi" w:hAnsiTheme="minorHAnsi"/>
          <w:sz w:val="24"/>
          <w:szCs w:val="24"/>
          <w:lang w:val="bg-BG"/>
        </w:rPr>
        <w:t>Месечната заплата</w:t>
      </w:r>
      <w:r w:rsidRPr="00573FDB">
        <w:rPr>
          <w:rFonts w:asciiTheme="minorHAnsi" w:hAnsiTheme="minorHAnsi"/>
          <w:sz w:val="24"/>
          <w:szCs w:val="24"/>
          <w:lang w:val="bg-BG"/>
        </w:rPr>
        <w:t xml:space="preserve"> на дългогодишен служител в дирекция „Социално подпомагане“ чисто е около 510 лв., проце</w:t>
      </w:r>
      <w:r w:rsidR="00830299">
        <w:rPr>
          <w:rFonts w:asciiTheme="minorHAnsi" w:hAnsiTheme="minorHAnsi"/>
          <w:sz w:val="24"/>
          <w:szCs w:val="24"/>
          <w:lang w:val="bg-BG"/>
        </w:rPr>
        <w:t>нт прослужено време не получава. Това сочи само едно – готови сме да отпуснем милиони на частни структури, но не и да осигурим достойно заплащане на заетите в държавните институции!</w:t>
      </w:r>
    </w:p>
    <w:p w:rsidR="00AF06AB" w:rsidRDefault="00AF06AB" w:rsidP="00573FDB">
      <w:pPr>
        <w:ind w:left="426" w:right="272" w:firstLine="708"/>
        <w:jc w:val="both"/>
        <w:rPr>
          <w:rFonts w:asciiTheme="minorHAnsi" w:hAnsiTheme="minorHAnsi"/>
          <w:sz w:val="24"/>
          <w:szCs w:val="24"/>
          <w:lang w:val="bg-BG"/>
        </w:rPr>
      </w:pPr>
    </w:p>
    <w:p w:rsidR="00FE69CB" w:rsidRPr="00573FDB" w:rsidRDefault="00FE69CB" w:rsidP="00573FDB">
      <w:pPr>
        <w:ind w:left="426" w:right="272" w:firstLine="708"/>
        <w:jc w:val="both"/>
        <w:rPr>
          <w:rFonts w:asciiTheme="minorHAnsi" w:hAnsiTheme="minorHAnsi"/>
          <w:sz w:val="24"/>
          <w:szCs w:val="24"/>
          <w:lang w:val="bg-BG"/>
        </w:rPr>
      </w:pPr>
      <w:r w:rsidRPr="00FE69CB">
        <w:rPr>
          <w:rFonts w:asciiTheme="minorHAnsi" w:hAnsiTheme="minorHAnsi"/>
          <w:sz w:val="24"/>
          <w:szCs w:val="24"/>
          <w:lang w:val="bg-BG"/>
        </w:rPr>
        <w:t xml:space="preserve">Впрочем аутсорсингът е кодиран дори в </w:t>
      </w:r>
      <w:r>
        <w:rPr>
          <w:rFonts w:asciiTheme="minorHAnsi" w:hAnsiTheme="minorHAnsi"/>
          <w:sz w:val="24"/>
          <w:szCs w:val="24"/>
          <w:lang w:val="bg-BG"/>
        </w:rPr>
        <w:t xml:space="preserve">дългогодишната </w:t>
      </w:r>
      <w:r w:rsidRPr="00FE69CB">
        <w:rPr>
          <w:rFonts w:asciiTheme="minorHAnsi" w:hAnsiTheme="minorHAnsi"/>
          <w:sz w:val="24"/>
          <w:szCs w:val="24"/>
          <w:lang w:val="bg-BG"/>
        </w:rPr>
        <w:t>промяната на терминологията. Вече няма „социални грижи“, има „социални услуги“. Нуждаещите не са „граждани“, а „клиенти“. Общественият ангажимент е заместен от бизнес терминология.</w:t>
      </w:r>
    </w:p>
    <w:p w:rsidR="00921B31" w:rsidRDefault="00921B31" w:rsidP="00D11CFE">
      <w:pPr>
        <w:ind w:left="426" w:right="272" w:firstLine="708"/>
        <w:jc w:val="both"/>
        <w:rPr>
          <w:rFonts w:asciiTheme="minorHAnsi" w:hAnsiTheme="minorHAnsi"/>
          <w:sz w:val="24"/>
          <w:szCs w:val="24"/>
          <w:lang w:val="bg-BG"/>
        </w:rPr>
      </w:pPr>
    </w:p>
    <w:p w:rsidR="009A2EFF" w:rsidRDefault="009A2EFF" w:rsidP="009A2EFF">
      <w:pPr>
        <w:ind w:left="426" w:right="272" w:firstLine="708"/>
        <w:jc w:val="both"/>
        <w:rPr>
          <w:rFonts w:asciiTheme="minorHAnsi" w:hAnsiTheme="minorHAnsi"/>
          <w:sz w:val="24"/>
          <w:szCs w:val="24"/>
          <w:lang w:val="bg-BG"/>
        </w:rPr>
      </w:pPr>
      <w:r>
        <w:rPr>
          <w:rFonts w:asciiTheme="minorHAnsi" w:hAnsiTheme="minorHAnsi"/>
          <w:sz w:val="24"/>
          <w:szCs w:val="24"/>
          <w:lang w:val="bg-BG"/>
        </w:rPr>
        <w:t>Друга „иновация“, която следва да се отбележи, е фактът, че р</w:t>
      </w:r>
      <w:r w:rsidRPr="009A2EFF">
        <w:rPr>
          <w:rFonts w:asciiTheme="minorHAnsi" w:hAnsiTheme="minorHAnsi"/>
          <w:sz w:val="24"/>
          <w:szCs w:val="24"/>
          <w:lang w:val="bg-BG"/>
        </w:rPr>
        <w:t>езюме</w:t>
      </w:r>
      <w:r>
        <w:rPr>
          <w:rFonts w:asciiTheme="minorHAnsi" w:hAnsiTheme="minorHAnsi"/>
          <w:sz w:val="24"/>
          <w:szCs w:val="24"/>
          <w:lang w:val="bg-BG"/>
        </w:rPr>
        <w:t>то</w:t>
      </w:r>
      <w:r w:rsidRPr="009A2EFF">
        <w:rPr>
          <w:rFonts w:asciiTheme="minorHAnsi" w:hAnsiTheme="minorHAnsi"/>
          <w:sz w:val="24"/>
          <w:szCs w:val="24"/>
          <w:lang w:val="bg-BG"/>
        </w:rPr>
        <w:t xml:space="preserve"> на цялостна предварителна оценка</w:t>
      </w:r>
      <w:r>
        <w:rPr>
          <w:rFonts w:asciiTheme="minorHAnsi" w:hAnsiTheme="minorHAnsi"/>
          <w:sz w:val="24"/>
          <w:szCs w:val="24"/>
          <w:lang w:val="bg-BG"/>
        </w:rPr>
        <w:t xml:space="preserve"> е извършено с участието на „</w:t>
      </w:r>
      <w:r w:rsidRPr="009A2EFF">
        <w:rPr>
          <w:rFonts w:asciiTheme="minorHAnsi" w:hAnsiTheme="minorHAnsi"/>
          <w:sz w:val="24"/>
          <w:szCs w:val="24"/>
          <w:lang w:val="bg-BG"/>
        </w:rPr>
        <w:t>Лаборатория за публични политики</w:t>
      </w:r>
      <w:r>
        <w:rPr>
          <w:rFonts w:asciiTheme="minorHAnsi" w:hAnsiTheme="minorHAnsi"/>
          <w:sz w:val="24"/>
          <w:szCs w:val="24"/>
          <w:lang w:val="bg-BG"/>
        </w:rPr>
        <w:t>“</w:t>
      </w:r>
      <w:r w:rsidRPr="009A2EFF">
        <w:rPr>
          <w:rFonts w:asciiTheme="minorHAnsi" w:hAnsiTheme="minorHAnsi"/>
          <w:sz w:val="24"/>
          <w:szCs w:val="24"/>
          <w:lang w:val="bg-BG"/>
        </w:rPr>
        <w:t>, Департамент Политически науки,</w:t>
      </w:r>
      <w:r>
        <w:rPr>
          <w:rFonts w:asciiTheme="minorHAnsi" w:hAnsiTheme="minorHAnsi"/>
          <w:sz w:val="24"/>
          <w:szCs w:val="24"/>
          <w:lang w:val="bg-BG"/>
        </w:rPr>
        <w:t xml:space="preserve"> </w:t>
      </w:r>
      <w:r w:rsidRPr="009A2EFF">
        <w:rPr>
          <w:rFonts w:asciiTheme="minorHAnsi" w:hAnsiTheme="minorHAnsi"/>
          <w:sz w:val="24"/>
          <w:szCs w:val="24"/>
          <w:lang w:val="bg-BG"/>
        </w:rPr>
        <w:t>Нов български университет</w:t>
      </w:r>
      <w:r>
        <w:rPr>
          <w:rFonts w:asciiTheme="minorHAnsi" w:hAnsiTheme="minorHAnsi"/>
          <w:sz w:val="24"/>
          <w:szCs w:val="24"/>
          <w:lang w:val="bg-BG"/>
        </w:rPr>
        <w:t xml:space="preserve">. А лицето за контакт е социолог по </w:t>
      </w:r>
      <w:r>
        <w:rPr>
          <w:rFonts w:asciiTheme="minorHAnsi" w:hAnsiTheme="minorHAnsi"/>
          <w:sz w:val="24"/>
          <w:szCs w:val="24"/>
          <w:lang w:val="bg-BG"/>
        </w:rPr>
        <w:lastRenderedPageBreak/>
        <w:t xml:space="preserve">професия. КТ „Подкрепа“ напомня, че </w:t>
      </w:r>
      <w:r w:rsidR="004B0C3E">
        <w:rPr>
          <w:rFonts w:asciiTheme="minorHAnsi" w:hAnsiTheme="minorHAnsi"/>
          <w:sz w:val="24"/>
          <w:szCs w:val="24"/>
          <w:lang w:val="bg-BG"/>
        </w:rPr>
        <w:t>общото между „</w:t>
      </w:r>
      <w:r>
        <w:rPr>
          <w:rFonts w:asciiTheme="minorHAnsi" w:hAnsiTheme="minorHAnsi"/>
          <w:sz w:val="24"/>
          <w:szCs w:val="24"/>
          <w:lang w:val="bg-BG"/>
        </w:rPr>
        <w:t>социолог</w:t>
      </w:r>
      <w:r w:rsidR="004B0C3E">
        <w:rPr>
          <w:rFonts w:asciiTheme="minorHAnsi" w:hAnsiTheme="minorHAnsi"/>
          <w:sz w:val="24"/>
          <w:szCs w:val="24"/>
          <w:lang w:val="bg-BG"/>
        </w:rPr>
        <w:t>“</w:t>
      </w:r>
      <w:r>
        <w:rPr>
          <w:rFonts w:asciiTheme="minorHAnsi" w:hAnsiTheme="minorHAnsi"/>
          <w:sz w:val="24"/>
          <w:szCs w:val="24"/>
          <w:lang w:val="bg-BG"/>
        </w:rPr>
        <w:t xml:space="preserve"> и </w:t>
      </w:r>
      <w:r w:rsidR="004B0C3E">
        <w:rPr>
          <w:rFonts w:asciiTheme="minorHAnsi" w:hAnsiTheme="minorHAnsi"/>
          <w:sz w:val="24"/>
          <w:szCs w:val="24"/>
          <w:lang w:val="bg-BG"/>
        </w:rPr>
        <w:t>„</w:t>
      </w:r>
      <w:r>
        <w:rPr>
          <w:rFonts w:asciiTheme="minorHAnsi" w:hAnsiTheme="minorHAnsi"/>
          <w:sz w:val="24"/>
          <w:szCs w:val="24"/>
          <w:lang w:val="bg-BG"/>
        </w:rPr>
        <w:t>социален експерт</w:t>
      </w:r>
      <w:r w:rsidR="004B0C3E">
        <w:rPr>
          <w:rFonts w:asciiTheme="minorHAnsi" w:hAnsiTheme="minorHAnsi"/>
          <w:sz w:val="24"/>
          <w:szCs w:val="24"/>
          <w:lang w:val="bg-BG"/>
        </w:rPr>
        <w:t xml:space="preserve">“ </w:t>
      </w:r>
      <w:r w:rsidR="000F0939">
        <w:rPr>
          <w:rFonts w:asciiTheme="minorHAnsi" w:hAnsiTheme="minorHAnsi"/>
          <w:sz w:val="24"/>
          <w:szCs w:val="24"/>
          <w:lang w:val="bg-BG"/>
        </w:rPr>
        <w:t>стига само до първите срички</w:t>
      </w:r>
      <w:r w:rsidR="004B0C3E">
        <w:rPr>
          <w:rFonts w:asciiTheme="minorHAnsi" w:hAnsiTheme="minorHAnsi"/>
          <w:sz w:val="24"/>
          <w:szCs w:val="24"/>
          <w:lang w:val="bg-BG"/>
        </w:rPr>
        <w:t>, но по същество двете професии</w:t>
      </w:r>
      <w:r>
        <w:rPr>
          <w:rFonts w:asciiTheme="minorHAnsi" w:hAnsiTheme="minorHAnsi"/>
          <w:sz w:val="24"/>
          <w:szCs w:val="24"/>
          <w:lang w:val="bg-BG"/>
        </w:rPr>
        <w:t xml:space="preserve"> нямат нищо общо</w:t>
      </w:r>
      <w:r w:rsidR="004B0C3E">
        <w:rPr>
          <w:rFonts w:asciiTheme="minorHAnsi" w:hAnsiTheme="minorHAnsi"/>
          <w:sz w:val="24"/>
          <w:szCs w:val="24"/>
          <w:lang w:val="bg-BG"/>
        </w:rPr>
        <w:t>. Материята, която е в обхвата на Закона за социалните услуги, изисква наличието на специфични познания за сектора на социалните политики.</w:t>
      </w:r>
    </w:p>
    <w:p w:rsidR="004B0C3E" w:rsidRDefault="004B0C3E" w:rsidP="009A2EFF">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Приносът на въпросната „Лаборатория“ в изготвянето на документа се заключава в пропагандиране на правилността на политиката на по-широко </w:t>
      </w:r>
      <w:r w:rsidR="00A02B75">
        <w:rPr>
          <w:rFonts w:asciiTheme="minorHAnsi" w:hAnsiTheme="minorHAnsi"/>
          <w:sz w:val="24"/>
          <w:szCs w:val="24"/>
          <w:lang w:val="bg-BG"/>
        </w:rPr>
        <w:t>прилага</w:t>
      </w:r>
      <w:r w:rsidR="00EE2989">
        <w:rPr>
          <w:rFonts w:asciiTheme="minorHAnsi" w:hAnsiTheme="minorHAnsi"/>
          <w:sz w:val="24"/>
          <w:szCs w:val="24"/>
          <w:lang w:val="bg-BG"/>
        </w:rPr>
        <w:t>не</w:t>
      </w:r>
      <w:r>
        <w:rPr>
          <w:rFonts w:asciiTheme="minorHAnsi" w:hAnsiTheme="minorHAnsi"/>
          <w:sz w:val="24"/>
          <w:szCs w:val="24"/>
          <w:lang w:val="bg-BG"/>
        </w:rPr>
        <w:t xml:space="preserve"> на публично-частното партньорство в провежданата от държавата социална политика, без да се задълбочава в</w:t>
      </w:r>
      <w:r w:rsidR="00EE2989">
        <w:rPr>
          <w:rFonts w:asciiTheme="minorHAnsi" w:hAnsiTheme="minorHAnsi"/>
          <w:sz w:val="24"/>
          <w:szCs w:val="24"/>
          <w:lang w:val="bg-BG"/>
        </w:rPr>
        <w:t xml:space="preserve"> аргументи</w:t>
      </w:r>
      <w:r>
        <w:rPr>
          <w:rFonts w:asciiTheme="minorHAnsi" w:hAnsiTheme="minorHAnsi"/>
          <w:sz w:val="24"/>
          <w:szCs w:val="24"/>
          <w:lang w:val="bg-BG"/>
        </w:rPr>
        <w:t xml:space="preserve">. Изготвени са три варианта на действие. При първия със </w:t>
      </w:r>
      <w:r w:rsidRPr="004B0C3E">
        <w:rPr>
          <w:rFonts w:asciiTheme="minorHAnsi" w:hAnsiTheme="minorHAnsi"/>
          <w:sz w:val="24"/>
          <w:szCs w:val="24"/>
          <w:lang w:val="bg-BG"/>
        </w:rPr>
        <w:t>запазва</w:t>
      </w:r>
      <w:r>
        <w:rPr>
          <w:rFonts w:asciiTheme="minorHAnsi" w:hAnsiTheme="minorHAnsi"/>
          <w:sz w:val="24"/>
          <w:szCs w:val="24"/>
          <w:lang w:val="bg-BG"/>
        </w:rPr>
        <w:t>не на</w:t>
      </w:r>
      <w:r w:rsidRPr="004B0C3E">
        <w:rPr>
          <w:rFonts w:asciiTheme="minorHAnsi" w:hAnsiTheme="minorHAnsi"/>
          <w:sz w:val="24"/>
          <w:szCs w:val="24"/>
          <w:lang w:val="bg-BG"/>
        </w:rPr>
        <w:t xml:space="preserve"> съществуващата нормативна уредба</w:t>
      </w:r>
      <w:r>
        <w:rPr>
          <w:rFonts w:asciiTheme="minorHAnsi" w:hAnsiTheme="minorHAnsi"/>
          <w:sz w:val="24"/>
          <w:szCs w:val="24"/>
          <w:lang w:val="bg-BG"/>
        </w:rPr>
        <w:t xml:space="preserve">, са описани правените до момента разходи за такива дейности – над 260 млн. лв. В третия вариант, който според лабораторията трябва да бъде избран, бюджет не е посочен. </w:t>
      </w:r>
      <w:r w:rsidRPr="004B0C3E">
        <w:rPr>
          <w:rFonts w:asciiTheme="minorHAnsi" w:hAnsiTheme="minorHAnsi"/>
          <w:b/>
          <w:sz w:val="24"/>
          <w:szCs w:val="24"/>
          <w:lang w:val="bg-BG"/>
        </w:rPr>
        <w:t>По-малко средства ли ще бъдат нужни, ако приватизираме изцяло социалните дейности?</w:t>
      </w:r>
      <w:r>
        <w:rPr>
          <w:rFonts w:asciiTheme="minorHAnsi" w:hAnsiTheme="minorHAnsi"/>
          <w:b/>
          <w:sz w:val="24"/>
          <w:szCs w:val="24"/>
          <w:lang w:val="bg-BG"/>
        </w:rPr>
        <w:t xml:space="preserve"> Неправителствените организации и фирми без пари ли ще работят? Няма ли да са им нужни средства за администриране на дейностите?</w:t>
      </w:r>
      <w:r w:rsidR="003255F7" w:rsidRPr="003255F7">
        <w:rPr>
          <w:rFonts w:asciiTheme="minorHAnsi" w:hAnsiTheme="minorHAnsi"/>
          <w:sz w:val="24"/>
          <w:szCs w:val="24"/>
          <w:lang w:val="bg-BG"/>
        </w:rPr>
        <w:t xml:space="preserve"> На тези въпроси „Лабораторията“</w:t>
      </w:r>
      <w:r w:rsidR="00A02B75">
        <w:rPr>
          <w:rFonts w:asciiTheme="minorHAnsi" w:hAnsiTheme="minorHAnsi"/>
          <w:sz w:val="24"/>
          <w:szCs w:val="24"/>
          <w:lang w:val="bg-BG"/>
        </w:rPr>
        <w:t xml:space="preserve"> не</w:t>
      </w:r>
      <w:r w:rsidR="003255F7" w:rsidRPr="003255F7">
        <w:rPr>
          <w:rFonts w:asciiTheme="minorHAnsi" w:hAnsiTheme="minorHAnsi"/>
          <w:sz w:val="24"/>
          <w:szCs w:val="24"/>
          <w:lang w:val="bg-BG"/>
        </w:rPr>
        <w:t xml:space="preserve"> дава отговор, вероятно не разполага с финансисти и икономисти.</w:t>
      </w:r>
      <w:r w:rsidR="003255F7">
        <w:rPr>
          <w:rFonts w:asciiTheme="minorHAnsi" w:hAnsiTheme="minorHAnsi"/>
          <w:sz w:val="24"/>
          <w:szCs w:val="24"/>
          <w:lang w:val="bg-BG"/>
        </w:rPr>
        <w:t xml:space="preserve"> КТ „Подкрепа“ настоява в оценката да бъде записан и хонорарът, който частната „Лаборатория“ на Нов български университет е получила за изготвянето на документа.</w:t>
      </w:r>
    </w:p>
    <w:p w:rsidR="00A02B75" w:rsidRDefault="00A02B75" w:rsidP="009A2EFF">
      <w:pPr>
        <w:ind w:left="426" w:right="272" w:firstLine="708"/>
        <w:jc w:val="both"/>
        <w:rPr>
          <w:rFonts w:asciiTheme="minorHAnsi" w:hAnsiTheme="minorHAnsi"/>
          <w:sz w:val="24"/>
          <w:szCs w:val="24"/>
          <w:lang w:val="bg-BG"/>
        </w:rPr>
      </w:pPr>
    </w:p>
    <w:p w:rsidR="00A02B75" w:rsidRDefault="00A02B75" w:rsidP="00A02B75">
      <w:pPr>
        <w:ind w:left="426" w:right="272" w:firstLine="708"/>
        <w:jc w:val="both"/>
        <w:rPr>
          <w:rFonts w:asciiTheme="minorHAnsi" w:hAnsiTheme="minorHAnsi"/>
          <w:sz w:val="24"/>
          <w:szCs w:val="24"/>
          <w:lang w:val="bg-BG"/>
        </w:rPr>
      </w:pPr>
      <w:r w:rsidRPr="00A02B75">
        <w:rPr>
          <w:rFonts w:asciiTheme="minorHAnsi" w:hAnsiTheme="minorHAnsi"/>
          <w:sz w:val="24"/>
          <w:szCs w:val="24"/>
          <w:lang w:val="bg-BG"/>
        </w:rPr>
        <w:t xml:space="preserve">Плащаме на частни болници да ни лекуват. Плащаме на частни училища. Плащаме на частни структури да ни предоставят социални "услуги". Частни институти на частни университети ни пишат оценките на законите. Закони се пишат от частни адвокатски кантори. </w:t>
      </w:r>
      <w:r w:rsidR="00AF06AB">
        <w:rPr>
          <w:rFonts w:asciiTheme="minorHAnsi" w:hAnsiTheme="minorHAnsi"/>
          <w:sz w:val="24"/>
          <w:szCs w:val="24"/>
          <w:lang w:val="bg-BG"/>
        </w:rPr>
        <w:t>И постфактум</w:t>
      </w:r>
      <w:r>
        <w:rPr>
          <w:rFonts w:asciiTheme="minorHAnsi" w:hAnsiTheme="minorHAnsi"/>
          <w:sz w:val="24"/>
          <w:szCs w:val="24"/>
          <w:lang w:val="bg-BG"/>
        </w:rPr>
        <w:t xml:space="preserve"> </w:t>
      </w:r>
      <w:r w:rsidR="00AF06AB">
        <w:rPr>
          <w:rFonts w:asciiTheme="minorHAnsi" w:hAnsiTheme="minorHAnsi"/>
          <w:sz w:val="24"/>
          <w:szCs w:val="24"/>
          <w:lang w:val="bg-BG"/>
        </w:rPr>
        <w:t>регистрираме хора и цели семейства, които остават извън полез</w:t>
      </w:r>
      <w:r w:rsidR="000F0939">
        <w:rPr>
          <w:rFonts w:asciiTheme="minorHAnsi" w:hAnsiTheme="minorHAnsi"/>
          <w:sz w:val="24"/>
          <w:szCs w:val="24"/>
          <w:lang w:val="bg-BG"/>
        </w:rPr>
        <w:t>рението на обществените системи – български граждани в социална изолация при всички функциониращи и в момента частни доставчици на социални „услуги“.</w:t>
      </w:r>
    </w:p>
    <w:p w:rsidR="00AF06AB" w:rsidRDefault="00AF06AB" w:rsidP="00A02B75">
      <w:pPr>
        <w:ind w:left="426" w:right="272" w:firstLine="708"/>
        <w:jc w:val="both"/>
        <w:rPr>
          <w:rFonts w:asciiTheme="minorHAnsi" w:hAnsiTheme="minorHAnsi"/>
          <w:sz w:val="24"/>
          <w:szCs w:val="24"/>
          <w:lang w:val="bg-BG"/>
        </w:rPr>
      </w:pPr>
    </w:p>
    <w:p w:rsidR="00A02B75" w:rsidRDefault="00AF06AB" w:rsidP="009A2EFF">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КТ „Подкрепа“ настоява за изготвяне на </w:t>
      </w:r>
      <w:r w:rsidRPr="000F0939">
        <w:rPr>
          <w:rFonts w:asciiTheme="minorHAnsi" w:hAnsiTheme="minorHAnsi"/>
          <w:b/>
          <w:sz w:val="24"/>
          <w:szCs w:val="24"/>
          <w:lang w:val="bg-BG"/>
        </w:rPr>
        <w:t>реална проактивна социална политика</w:t>
      </w:r>
      <w:r>
        <w:rPr>
          <w:rFonts w:asciiTheme="minorHAnsi" w:hAnsiTheme="minorHAnsi"/>
          <w:sz w:val="24"/>
          <w:szCs w:val="24"/>
          <w:lang w:val="bg-BG"/>
        </w:rPr>
        <w:t>. Настояваме всек</w:t>
      </w:r>
      <w:r w:rsidR="000F0939">
        <w:rPr>
          <w:rFonts w:asciiTheme="minorHAnsi" w:hAnsiTheme="minorHAnsi"/>
          <w:sz w:val="24"/>
          <w:szCs w:val="24"/>
          <w:lang w:val="bg-BG"/>
        </w:rPr>
        <w:t xml:space="preserve">и жилищен комплекс или квартал </w:t>
      </w:r>
      <w:r>
        <w:rPr>
          <w:rFonts w:asciiTheme="minorHAnsi" w:hAnsiTheme="minorHAnsi"/>
          <w:sz w:val="24"/>
          <w:szCs w:val="24"/>
          <w:lang w:val="bg-BG"/>
        </w:rPr>
        <w:t xml:space="preserve">да разполага със социален работник, който да познава </w:t>
      </w:r>
      <w:r w:rsidR="000F0939">
        <w:rPr>
          <w:rFonts w:asciiTheme="minorHAnsi" w:hAnsiTheme="minorHAnsi"/>
          <w:sz w:val="24"/>
          <w:szCs w:val="24"/>
          <w:lang w:val="bg-BG"/>
        </w:rPr>
        <w:t xml:space="preserve">живота на </w:t>
      </w:r>
      <w:r>
        <w:rPr>
          <w:rFonts w:asciiTheme="minorHAnsi" w:hAnsiTheme="minorHAnsi"/>
          <w:sz w:val="24"/>
          <w:szCs w:val="24"/>
          <w:lang w:val="bg-BG"/>
        </w:rPr>
        <w:t xml:space="preserve">местните граждани и те да познават него. Нуждаещите се </w:t>
      </w:r>
      <w:r w:rsidR="000F0939">
        <w:rPr>
          <w:rFonts w:asciiTheme="minorHAnsi" w:hAnsiTheme="minorHAnsi"/>
          <w:sz w:val="24"/>
          <w:szCs w:val="24"/>
          <w:lang w:val="bg-BG"/>
        </w:rPr>
        <w:t>не могат да знаят</w:t>
      </w:r>
      <w:r>
        <w:rPr>
          <w:rFonts w:asciiTheme="minorHAnsi" w:hAnsiTheme="minorHAnsi"/>
          <w:sz w:val="24"/>
          <w:szCs w:val="24"/>
          <w:lang w:val="bg-BG"/>
        </w:rPr>
        <w:t xml:space="preserve"> всички закони и наредби</w:t>
      </w:r>
      <w:r w:rsidR="000F0939">
        <w:rPr>
          <w:rFonts w:asciiTheme="minorHAnsi" w:hAnsiTheme="minorHAnsi"/>
          <w:sz w:val="24"/>
          <w:szCs w:val="24"/>
          <w:lang w:val="bg-BG"/>
        </w:rPr>
        <w:t xml:space="preserve"> и</w:t>
      </w:r>
      <w:r>
        <w:rPr>
          <w:rFonts w:asciiTheme="minorHAnsi" w:hAnsiTheme="minorHAnsi"/>
          <w:sz w:val="24"/>
          <w:szCs w:val="24"/>
          <w:lang w:val="bg-BG"/>
        </w:rPr>
        <w:t xml:space="preserve"> възможности</w:t>
      </w:r>
      <w:r w:rsidR="000F0939">
        <w:rPr>
          <w:rFonts w:asciiTheme="minorHAnsi" w:hAnsiTheme="minorHAnsi"/>
          <w:sz w:val="24"/>
          <w:szCs w:val="24"/>
          <w:lang w:val="bg-BG"/>
        </w:rPr>
        <w:t>те</w:t>
      </w:r>
      <w:r>
        <w:rPr>
          <w:rFonts w:asciiTheme="minorHAnsi" w:hAnsiTheme="minorHAnsi"/>
          <w:sz w:val="24"/>
          <w:szCs w:val="24"/>
          <w:lang w:val="bg-BG"/>
        </w:rPr>
        <w:t xml:space="preserve">, които </w:t>
      </w:r>
      <w:r w:rsidR="000F0939">
        <w:rPr>
          <w:rFonts w:asciiTheme="minorHAnsi" w:hAnsiTheme="minorHAnsi"/>
          <w:sz w:val="24"/>
          <w:szCs w:val="24"/>
          <w:lang w:val="bg-BG"/>
        </w:rPr>
        <w:t xml:space="preserve">те </w:t>
      </w:r>
      <w:r>
        <w:rPr>
          <w:rFonts w:asciiTheme="minorHAnsi" w:hAnsiTheme="minorHAnsi"/>
          <w:sz w:val="24"/>
          <w:szCs w:val="24"/>
          <w:lang w:val="bg-BG"/>
        </w:rPr>
        <w:t>им предоставя</w:t>
      </w:r>
      <w:r w:rsidR="000F0939">
        <w:rPr>
          <w:rFonts w:asciiTheme="minorHAnsi" w:hAnsiTheme="minorHAnsi"/>
          <w:sz w:val="24"/>
          <w:szCs w:val="24"/>
          <w:lang w:val="bg-BG"/>
        </w:rPr>
        <w:t>т</w:t>
      </w:r>
      <w:r>
        <w:rPr>
          <w:rFonts w:asciiTheme="minorHAnsi" w:hAnsiTheme="minorHAnsi"/>
          <w:sz w:val="24"/>
          <w:szCs w:val="24"/>
          <w:lang w:val="bg-BG"/>
        </w:rPr>
        <w:t>. Социалният работник е компетентен и може да ги насочи</w:t>
      </w:r>
      <w:r w:rsidR="000F0939">
        <w:rPr>
          <w:rFonts w:asciiTheme="minorHAnsi" w:hAnsiTheme="minorHAnsi"/>
          <w:sz w:val="24"/>
          <w:szCs w:val="24"/>
          <w:lang w:val="bg-BG"/>
        </w:rPr>
        <w:t xml:space="preserve">. Но това не може да стане от бюрото в държавната институция или частната структура. Социалният работник не бива </w:t>
      </w:r>
      <w:r>
        <w:rPr>
          <w:rFonts w:asciiTheme="minorHAnsi" w:hAnsiTheme="minorHAnsi"/>
          <w:sz w:val="24"/>
          <w:szCs w:val="24"/>
          <w:lang w:val="bg-BG"/>
        </w:rPr>
        <w:t>да чака да бъде потърсен, той трябва да бъде активната страната в тези отношения. А трудът му следва да бъде заплатен достойно.</w:t>
      </w:r>
    </w:p>
    <w:p w:rsidR="004B0C3E" w:rsidRDefault="004B0C3E" w:rsidP="009A2EFF">
      <w:pPr>
        <w:ind w:left="426" w:right="272" w:firstLine="708"/>
        <w:jc w:val="both"/>
        <w:rPr>
          <w:rFonts w:asciiTheme="minorHAnsi" w:hAnsiTheme="minorHAnsi"/>
          <w:sz w:val="24"/>
          <w:szCs w:val="24"/>
          <w:lang w:val="bg-BG"/>
        </w:rPr>
      </w:pPr>
    </w:p>
    <w:p w:rsidR="00910066" w:rsidRDefault="00A02B75" w:rsidP="00AF06AB">
      <w:pPr>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Разбира се, </w:t>
      </w:r>
      <w:r w:rsidR="009A2EFF">
        <w:rPr>
          <w:rFonts w:asciiTheme="minorHAnsi" w:hAnsiTheme="minorHAnsi"/>
          <w:sz w:val="24"/>
          <w:szCs w:val="24"/>
          <w:lang w:val="bg-BG"/>
        </w:rPr>
        <w:t xml:space="preserve">КТ „Подкрепа“ приветства предоставянето на социални „услуги“ </w:t>
      </w:r>
      <w:r w:rsidR="000F0939">
        <w:rPr>
          <w:rFonts w:asciiTheme="minorHAnsi" w:hAnsiTheme="minorHAnsi"/>
          <w:sz w:val="24"/>
          <w:szCs w:val="24"/>
          <w:lang w:val="bg-BG"/>
        </w:rPr>
        <w:t xml:space="preserve">и </w:t>
      </w:r>
      <w:r w:rsidR="009A2EFF">
        <w:rPr>
          <w:rFonts w:asciiTheme="minorHAnsi" w:hAnsiTheme="minorHAnsi"/>
          <w:sz w:val="24"/>
          <w:szCs w:val="24"/>
          <w:lang w:val="bg-BG"/>
        </w:rPr>
        <w:t>от частни компании и органи</w:t>
      </w:r>
      <w:r>
        <w:rPr>
          <w:rFonts w:asciiTheme="minorHAnsi" w:hAnsiTheme="minorHAnsi"/>
          <w:sz w:val="24"/>
          <w:szCs w:val="24"/>
          <w:lang w:val="bg-BG"/>
        </w:rPr>
        <w:t>зации. А</w:t>
      </w:r>
      <w:r w:rsidR="009A2EFF">
        <w:rPr>
          <w:rFonts w:asciiTheme="minorHAnsi" w:hAnsiTheme="minorHAnsi"/>
          <w:sz w:val="24"/>
          <w:szCs w:val="24"/>
          <w:lang w:val="bg-BG"/>
        </w:rPr>
        <w:t xml:space="preserve">ко са финансирани с частни, а не с държавни средства. </w:t>
      </w:r>
      <w:r>
        <w:rPr>
          <w:rFonts w:asciiTheme="minorHAnsi" w:hAnsiTheme="minorHAnsi"/>
          <w:sz w:val="24"/>
          <w:szCs w:val="24"/>
          <w:lang w:val="bg-BG"/>
        </w:rPr>
        <w:t>Подкрепяме и включването на текстове</w:t>
      </w:r>
      <w:r w:rsidR="000F0939">
        <w:rPr>
          <w:rFonts w:asciiTheme="minorHAnsi" w:hAnsiTheme="minorHAnsi"/>
          <w:sz w:val="24"/>
          <w:szCs w:val="24"/>
          <w:lang w:val="bg-BG"/>
        </w:rPr>
        <w:t>,</w:t>
      </w:r>
      <w:r>
        <w:rPr>
          <w:rFonts w:asciiTheme="minorHAnsi" w:hAnsiTheme="minorHAnsi"/>
          <w:sz w:val="24"/>
          <w:szCs w:val="24"/>
          <w:lang w:val="bg-BG"/>
        </w:rPr>
        <w:t xml:space="preserve"> насочени срещу насилието и експлоатацията на деца, както и на други жертви на насилие. Намираме обаче за порочна философията, която е в сър</w:t>
      </w:r>
      <w:r w:rsidR="00AF06AB">
        <w:rPr>
          <w:rFonts w:asciiTheme="minorHAnsi" w:hAnsiTheme="minorHAnsi"/>
          <w:sz w:val="24"/>
          <w:szCs w:val="24"/>
          <w:lang w:val="bg-BG"/>
        </w:rPr>
        <w:t>цевината на законопроекта, поради което няма да подкрепим този проект на Закон за социалните услуги.</w:t>
      </w:r>
    </w:p>
    <w:p w:rsidR="00B35BAC" w:rsidRPr="00763B6D" w:rsidRDefault="00B35BAC" w:rsidP="00D11CFE">
      <w:pPr>
        <w:ind w:left="426" w:right="272"/>
        <w:rPr>
          <w:rFonts w:asciiTheme="minorHAnsi" w:hAnsiTheme="minorHAnsi"/>
          <w:sz w:val="24"/>
          <w:szCs w:val="24"/>
          <w:lang w:val="bg-BG"/>
        </w:rPr>
      </w:pPr>
    </w:p>
    <w:p w:rsidR="00763B6D" w:rsidRPr="00763B6D" w:rsidRDefault="00763B6D" w:rsidP="00D11CFE">
      <w:pPr>
        <w:ind w:left="426" w:right="272"/>
        <w:rPr>
          <w:rFonts w:asciiTheme="minorHAnsi" w:hAnsiTheme="minorHAnsi"/>
          <w:sz w:val="24"/>
          <w:szCs w:val="24"/>
          <w:lang w:val="bg-BG"/>
        </w:rPr>
      </w:pPr>
    </w:p>
    <w:p w:rsidR="00763B6D" w:rsidRPr="00763B6D" w:rsidRDefault="00763B6D" w:rsidP="00D11CFE">
      <w:pPr>
        <w:ind w:left="426" w:right="272"/>
        <w:rPr>
          <w:rFonts w:asciiTheme="minorHAnsi" w:hAnsiTheme="minorHAnsi"/>
          <w:lang w:val="bg-BG"/>
        </w:rPr>
      </w:pPr>
    </w:p>
    <w:p w:rsidR="00763B6D" w:rsidRPr="00763B6D" w:rsidRDefault="00763B6D" w:rsidP="00D11CFE">
      <w:pPr>
        <w:ind w:left="426" w:right="272"/>
        <w:rPr>
          <w:rFonts w:asciiTheme="minorHAnsi" w:hAnsiTheme="minorHAnsi"/>
          <w:lang w:val="bg-BG"/>
        </w:rPr>
      </w:pPr>
    </w:p>
    <w:p w:rsidR="00763B6D" w:rsidRPr="00763B6D" w:rsidRDefault="00763B6D" w:rsidP="00D11CFE">
      <w:pPr>
        <w:ind w:left="3828" w:right="272"/>
        <w:rPr>
          <w:rFonts w:asciiTheme="minorHAnsi" w:hAnsiTheme="minorHAnsi"/>
          <w:b/>
          <w:sz w:val="24"/>
          <w:szCs w:val="24"/>
          <w:lang w:val="bg-BG"/>
        </w:rPr>
      </w:pPr>
      <w:r w:rsidRPr="00763B6D">
        <w:rPr>
          <w:rFonts w:asciiTheme="minorHAnsi" w:hAnsiTheme="minorHAnsi"/>
          <w:b/>
          <w:sz w:val="24"/>
          <w:szCs w:val="24"/>
          <w:lang w:val="bg-BG"/>
        </w:rPr>
        <w:t>С УВАЖЕНИЕ:</w:t>
      </w:r>
    </w:p>
    <w:p w:rsidR="00763B6D" w:rsidRPr="00763B6D" w:rsidRDefault="00763B6D" w:rsidP="00D11CFE">
      <w:pPr>
        <w:ind w:left="3828" w:right="272"/>
        <w:rPr>
          <w:rFonts w:asciiTheme="minorHAnsi" w:hAnsiTheme="minorHAnsi"/>
          <w:b/>
          <w:sz w:val="24"/>
          <w:szCs w:val="24"/>
          <w:lang w:val="bg-BG"/>
        </w:rPr>
      </w:pPr>
    </w:p>
    <w:p w:rsidR="00275CE0" w:rsidRPr="00763B6D" w:rsidRDefault="00763B6D" w:rsidP="00275CE0">
      <w:pPr>
        <w:ind w:left="3828" w:right="272"/>
        <w:rPr>
          <w:rFonts w:asciiTheme="minorHAnsi" w:hAnsiTheme="minorHAnsi"/>
          <w:b/>
          <w:sz w:val="24"/>
          <w:szCs w:val="24"/>
          <w:lang w:val="bg-BG"/>
        </w:rPr>
      </w:pPr>
      <w:r w:rsidRPr="00763B6D">
        <w:rPr>
          <w:rFonts w:asciiTheme="minorHAnsi" w:hAnsiTheme="minorHAnsi"/>
          <w:b/>
          <w:sz w:val="24"/>
          <w:szCs w:val="24"/>
          <w:lang w:val="bg-BG"/>
        </w:rPr>
        <w:tab/>
      </w:r>
      <w:r w:rsidRPr="00763B6D">
        <w:rPr>
          <w:rFonts w:asciiTheme="minorHAnsi" w:hAnsiTheme="minorHAnsi"/>
          <w:b/>
          <w:sz w:val="24"/>
          <w:szCs w:val="24"/>
          <w:lang w:val="bg-BG"/>
        </w:rPr>
        <w:tab/>
      </w:r>
      <w:r w:rsidRPr="00763B6D">
        <w:rPr>
          <w:rFonts w:asciiTheme="minorHAnsi" w:hAnsiTheme="minorHAnsi"/>
          <w:b/>
          <w:sz w:val="24"/>
          <w:szCs w:val="24"/>
          <w:lang w:val="bg-BG"/>
        </w:rPr>
        <w:tab/>
      </w:r>
      <w:r w:rsidR="00275CE0">
        <w:rPr>
          <w:rFonts w:asciiTheme="minorHAnsi" w:hAnsiTheme="minorHAnsi"/>
          <w:b/>
          <w:sz w:val="24"/>
          <w:szCs w:val="24"/>
          <w:lang w:val="bg-BG"/>
        </w:rPr>
        <w:t>ИНЖ. ДИМИТЪР МАНОЛОВ</w:t>
      </w:r>
    </w:p>
    <w:p w:rsidR="00EF5947" w:rsidRPr="00136D7D" w:rsidRDefault="00275CE0" w:rsidP="00AF06AB">
      <w:pPr>
        <w:ind w:left="3828" w:right="272"/>
        <w:rPr>
          <w:sz w:val="24"/>
          <w:szCs w:val="24"/>
          <w:lang w:val="bg-BG"/>
        </w:rPr>
      </w:pPr>
      <w:r w:rsidRPr="00763B6D">
        <w:rPr>
          <w:rFonts w:asciiTheme="minorHAnsi" w:hAnsiTheme="minorHAnsi"/>
          <w:b/>
          <w:sz w:val="24"/>
          <w:szCs w:val="24"/>
          <w:lang w:val="bg-BG"/>
        </w:rPr>
        <w:tab/>
      </w:r>
      <w:r w:rsidRPr="00763B6D">
        <w:rPr>
          <w:rFonts w:asciiTheme="minorHAnsi" w:hAnsiTheme="minorHAnsi"/>
          <w:b/>
          <w:sz w:val="24"/>
          <w:szCs w:val="24"/>
          <w:lang w:val="bg-BG"/>
        </w:rPr>
        <w:tab/>
      </w:r>
      <w:r w:rsidRPr="00763B6D">
        <w:rPr>
          <w:rFonts w:asciiTheme="minorHAnsi" w:hAnsiTheme="minorHAnsi"/>
          <w:b/>
          <w:sz w:val="24"/>
          <w:szCs w:val="24"/>
          <w:lang w:val="bg-BG"/>
        </w:rPr>
        <w:tab/>
      </w:r>
      <w:r>
        <w:rPr>
          <w:rFonts w:asciiTheme="minorHAnsi" w:hAnsiTheme="minorHAnsi"/>
          <w:b/>
          <w:sz w:val="24"/>
          <w:szCs w:val="24"/>
          <w:lang w:val="bg-BG"/>
        </w:rPr>
        <w:t>ПРЕЗИДЕНТ НА КТ „ПОДКРЕПА“</w:t>
      </w:r>
    </w:p>
    <w:sectPr w:rsidR="00EF5947" w:rsidRPr="00136D7D" w:rsidSect="000501D6">
      <w:headerReference w:type="default" r:id="rId7"/>
      <w:footerReference w:type="default" r:id="rId8"/>
      <w:pgSz w:w="11906" w:h="16838"/>
      <w:pgMar w:top="2102" w:right="566" w:bottom="764" w:left="720" w:header="56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08" w:rsidRDefault="00265608">
      <w:r>
        <w:separator/>
      </w:r>
    </w:p>
  </w:endnote>
  <w:endnote w:type="continuationSeparator" w:id="0">
    <w:p w:rsidR="00265608" w:rsidRDefault="002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Cy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21700"/>
      <w:docPartObj>
        <w:docPartGallery w:val="Page Numbers (Bottom of Page)"/>
        <w:docPartUnique/>
      </w:docPartObj>
    </w:sdtPr>
    <w:sdtEndPr>
      <w:rPr>
        <w:noProof/>
      </w:rPr>
    </w:sdtEndPr>
    <w:sdtContent>
      <w:p w:rsidR="00A02F81" w:rsidRDefault="00A02F81">
        <w:pPr>
          <w:pStyle w:val="Footer"/>
          <w:jc w:val="right"/>
        </w:pPr>
        <w:r>
          <w:fldChar w:fldCharType="begin"/>
        </w:r>
        <w:r>
          <w:instrText xml:space="preserve"> PAGE   \* MERGEFORMAT </w:instrText>
        </w:r>
        <w:r>
          <w:fldChar w:fldCharType="separate"/>
        </w:r>
        <w:r w:rsidR="000F0939">
          <w:rPr>
            <w:noProof/>
          </w:rPr>
          <w:t>2</w:t>
        </w:r>
        <w:r>
          <w:rPr>
            <w:noProof/>
          </w:rPr>
          <w:fldChar w:fldCharType="end"/>
        </w:r>
      </w:p>
    </w:sdtContent>
  </w:sdt>
  <w:p w:rsidR="000501D6" w:rsidRDefault="0005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08" w:rsidRDefault="00265608">
      <w:r>
        <w:separator/>
      </w:r>
    </w:p>
  </w:footnote>
  <w:footnote w:type="continuationSeparator" w:id="0">
    <w:p w:rsidR="00265608" w:rsidRDefault="0026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6C6" w:rsidRDefault="00D466E7" w:rsidP="00410464">
    <w:pPr>
      <w:pStyle w:val="Heading1"/>
      <w:jc w:val="left"/>
    </w:pPr>
    <w:r>
      <w:rPr>
        <w:noProof/>
        <w:lang w:eastAsia="en-US"/>
      </w:rPr>
      <w:drawing>
        <wp:inline distT="0" distB="0" distL="0" distR="0" wp14:anchorId="78512B62" wp14:editId="5CFA58EB">
          <wp:extent cx="6657975" cy="1143000"/>
          <wp:effectExtent l="0" t="0" r="9525" b="0"/>
          <wp:docPr id="3" name="Picture 3"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143000"/>
                  </a:xfrm>
                  <a:prstGeom prst="rect">
                    <a:avLst/>
                  </a:prstGeom>
                  <a:noFill/>
                  <a:ln>
                    <a:noFill/>
                  </a:ln>
                </pic:spPr>
              </pic:pic>
            </a:graphicData>
          </a:graphic>
        </wp:inline>
      </w:drawing>
    </w:r>
  </w:p>
  <w:p w:rsidR="004B06C6" w:rsidRDefault="004B06C6">
    <w:pP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1A63A8"/>
    <w:multiLevelType w:val="hybridMultilevel"/>
    <w:tmpl w:val="C0BECB00"/>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18A0514"/>
    <w:multiLevelType w:val="hybridMultilevel"/>
    <w:tmpl w:val="B346123E"/>
    <w:lvl w:ilvl="0" w:tplc="36CEF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4911"/>
    <w:multiLevelType w:val="hybridMultilevel"/>
    <w:tmpl w:val="A0C2B794"/>
    <w:lvl w:ilvl="0" w:tplc="362CA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0E"/>
    <w:multiLevelType w:val="hybridMultilevel"/>
    <w:tmpl w:val="E5406B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F5639D5"/>
    <w:multiLevelType w:val="hybridMultilevel"/>
    <w:tmpl w:val="22D22412"/>
    <w:lvl w:ilvl="0" w:tplc="291EAF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3E32755"/>
    <w:multiLevelType w:val="hybridMultilevel"/>
    <w:tmpl w:val="86FC1182"/>
    <w:lvl w:ilvl="0" w:tplc="05945A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927F7"/>
    <w:multiLevelType w:val="hybridMultilevel"/>
    <w:tmpl w:val="6F5207FC"/>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6"/>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05"/>
    <w:rsid w:val="0001597F"/>
    <w:rsid w:val="000501D6"/>
    <w:rsid w:val="00063712"/>
    <w:rsid w:val="000A05DF"/>
    <w:rsid w:val="000A1F80"/>
    <w:rsid w:val="000C2F66"/>
    <w:rsid w:val="000E78E1"/>
    <w:rsid w:val="000F0939"/>
    <w:rsid w:val="000F580F"/>
    <w:rsid w:val="00111E05"/>
    <w:rsid w:val="00136D7D"/>
    <w:rsid w:val="00143B21"/>
    <w:rsid w:val="00166E11"/>
    <w:rsid w:val="0017395B"/>
    <w:rsid w:val="001825E3"/>
    <w:rsid w:val="001845FE"/>
    <w:rsid w:val="001B2BEB"/>
    <w:rsid w:val="001D0AD1"/>
    <w:rsid w:val="001D10E3"/>
    <w:rsid w:val="001E6C22"/>
    <w:rsid w:val="001F7ECB"/>
    <w:rsid w:val="00204C12"/>
    <w:rsid w:val="00214948"/>
    <w:rsid w:val="00256C62"/>
    <w:rsid w:val="00265608"/>
    <w:rsid w:val="00275CE0"/>
    <w:rsid w:val="00295126"/>
    <w:rsid w:val="002D7E37"/>
    <w:rsid w:val="002E3DB0"/>
    <w:rsid w:val="00323D79"/>
    <w:rsid w:val="00325061"/>
    <w:rsid w:val="003255F7"/>
    <w:rsid w:val="00360CB9"/>
    <w:rsid w:val="0038788B"/>
    <w:rsid w:val="003A679C"/>
    <w:rsid w:val="003D3F84"/>
    <w:rsid w:val="003D5240"/>
    <w:rsid w:val="0040029E"/>
    <w:rsid w:val="00410464"/>
    <w:rsid w:val="004607F5"/>
    <w:rsid w:val="0046449E"/>
    <w:rsid w:val="00470962"/>
    <w:rsid w:val="004836E2"/>
    <w:rsid w:val="00486550"/>
    <w:rsid w:val="004A24C9"/>
    <w:rsid w:val="004A303F"/>
    <w:rsid w:val="004A3FEB"/>
    <w:rsid w:val="004A6C2F"/>
    <w:rsid w:val="004B06C6"/>
    <w:rsid w:val="004B0C3E"/>
    <w:rsid w:val="004B4862"/>
    <w:rsid w:val="004C3AD9"/>
    <w:rsid w:val="00506DBD"/>
    <w:rsid w:val="005477F3"/>
    <w:rsid w:val="00573FDB"/>
    <w:rsid w:val="00576F33"/>
    <w:rsid w:val="00583698"/>
    <w:rsid w:val="005A2628"/>
    <w:rsid w:val="005A2E74"/>
    <w:rsid w:val="005B784B"/>
    <w:rsid w:val="005D5EEC"/>
    <w:rsid w:val="005E7E8C"/>
    <w:rsid w:val="005F42BD"/>
    <w:rsid w:val="0061713B"/>
    <w:rsid w:val="00626299"/>
    <w:rsid w:val="00633B7E"/>
    <w:rsid w:val="00651709"/>
    <w:rsid w:val="0066416C"/>
    <w:rsid w:val="00692A79"/>
    <w:rsid w:val="006A74E8"/>
    <w:rsid w:val="006B112F"/>
    <w:rsid w:val="006B53F9"/>
    <w:rsid w:val="006D2D57"/>
    <w:rsid w:val="00755584"/>
    <w:rsid w:val="00763B6D"/>
    <w:rsid w:val="00776F39"/>
    <w:rsid w:val="007E7155"/>
    <w:rsid w:val="0080176C"/>
    <w:rsid w:val="00807EEA"/>
    <w:rsid w:val="00830299"/>
    <w:rsid w:val="00830817"/>
    <w:rsid w:val="00851DAD"/>
    <w:rsid w:val="0085535E"/>
    <w:rsid w:val="0085537D"/>
    <w:rsid w:val="0087385D"/>
    <w:rsid w:val="008D457C"/>
    <w:rsid w:val="00910066"/>
    <w:rsid w:val="00921B31"/>
    <w:rsid w:val="009675C2"/>
    <w:rsid w:val="00992E30"/>
    <w:rsid w:val="0099320A"/>
    <w:rsid w:val="009A2EFF"/>
    <w:rsid w:val="009A7CAC"/>
    <w:rsid w:val="009B1E87"/>
    <w:rsid w:val="009C2A00"/>
    <w:rsid w:val="009F6B72"/>
    <w:rsid w:val="00A02B75"/>
    <w:rsid w:val="00A02F81"/>
    <w:rsid w:val="00A56E64"/>
    <w:rsid w:val="00AA31E6"/>
    <w:rsid w:val="00AE57D4"/>
    <w:rsid w:val="00AF06AB"/>
    <w:rsid w:val="00AF5E9E"/>
    <w:rsid w:val="00AF73E1"/>
    <w:rsid w:val="00B074A4"/>
    <w:rsid w:val="00B15B96"/>
    <w:rsid w:val="00B35BAC"/>
    <w:rsid w:val="00B452BC"/>
    <w:rsid w:val="00B54BC6"/>
    <w:rsid w:val="00B577AE"/>
    <w:rsid w:val="00B75D92"/>
    <w:rsid w:val="00B917C9"/>
    <w:rsid w:val="00B92712"/>
    <w:rsid w:val="00BA2D96"/>
    <w:rsid w:val="00BA532F"/>
    <w:rsid w:val="00BB1240"/>
    <w:rsid w:val="00BB53A6"/>
    <w:rsid w:val="00BC4573"/>
    <w:rsid w:val="00C04F4D"/>
    <w:rsid w:val="00C07F31"/>
    <w:rsid w:val="00C10A1F"/>
    <w:rsid w:val="00C609B5"/>
    <w:rsid w:val="00CC7A37"/>
    <w:rsid w:val="00D069A4"/>
    <w:rsid w:val="00D11CFE"/>
    <w:rsid w:val="00D466E7"/>
    <w:rsid w:val="00D80BF4"/>
    <w:rsid w:val="00DA07AB"/>
    <w:rsid w:val="00DD13E0"/>
    <w:rsid w:val="00DF18D0"/>
    <w:rsid w:val="00E0085B"/>
    <w:rsid w:val="00E009DD"/>
    <w:rsid w:val="00E16824"/>
    <w:rsid w:val="00E253BB"/>
    <w:rsid w:val="00E341BA"/>
    <w:rsid w:val="00E50FA6"/>
    <w:rsid w:val="00E6076D"/>
    <w:rsid w:val="00E6799A"/>
    <w:rsid w:val="00E769B7"/>
    <w:rsid w:val="00E80D18"/>
    <w:rsid w:val="00EB2E06"/>
    <w:rsid w:val="00EB3927"/>
    <w:rsid w:val="00EB49F6"/>
    <w:rsid w:val="00EE0D08"/>
    <w:rsid w:val="00EE2989"/>
    <w:rsid w:val="00EE3F14"/>
    <w:rsid w:val="00EF1563"/>
    <w:rsid w:val="00EF5947"/>
    <w:rsid w:val="00F04AE5"/>
    <w:rsid w:val="00F22CEB"/>
    <w:rsid w:val="00F375FB"/>
    <w:rsid w:val="00F53B5C"/>
    <w:rsid w:val="00FC4B6F"/>
    <w:rsid w:val="00FE135B"/>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727CF5E-E6CA-426F-9DFD-9CEDCBB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Verdana" w:hAnsi="Verdana"/>
      <w:b/>
    </w:rPr>
  </w:style>
  <w:style w:type="paragraph" w:styleId="Heading2">
    <w:name w:val="heading 2"/>
    <w:basedOn w:val="Normal"/>
    <w:next w:val="Normal"/>
    <w:qFormat/>
    <w:pPr>
      <w:keepNext/>
      <w:numPr>
        <w:ilvl w:val="1"/>
        <w:numId w:val="1"/>
      </w:numPr>
      <w:jc w:val="center"/>
      <w:outlineLvl w:val="1"/>
    </w:pPr>
    <w:rPr>
      <w:rFonts w:ascii="Verdana" w:hAnsi="Verdana"/>
      <w:b/>
      <w:lang w:val="bg-BG"/>
    </w:rPr>
  </w:style>
  <w:style w:type="paragraph" w:styleId="Heading3">
    <w:name w:val="heading 3"/>
    <w:basedOn w:val="Normal"/>
    <w:next w:val="Normal"/>
    <w:qFormat/>
    <w:pPr>
      <w:keepNext/>
      <w:numPr>
        <w:ilvl w:val="2"/>
        <w:numId w:val="1"/>
      </w:numPr>
      <w:spacing w:before="240" w:after="60"/>
      <w:outlineLvl w:val="2"/>
    </w:pPr>
    <w:rPr>
      <w:rFonts w:ascii="Arial" w:hAnsi="Arial"/>
      <w:sz w:val="24"/>
      <w:lang w:val="en-AU"/>
    </w:rPr>
  </w:style>
  <w:style w:type="paragraph" w:styleId="Heading4">
    <w:name w:val="heading 4"/>
    <w:basedOn w:val="Normal"/>
    <w:next w:val="Normal"/>
    <w:qFormat/>
    <w:pPr>
      <w:keepNext/>
      <w:numPr>
        <w:ilvl w:val="3"/>
        <w:numId w:val="1"/>
      </w:numPr>
      <w:spacing w:before="100" w:after="100"/>
      <w:jc w:val="center"/>
      <w:outlineLvl w:val="3"/>
    </w:pPr>
    <w:rPr>
      <w:b/>
      <w:i/>
      <w:sz w:val="24"/>
      <w:u w:val="single"/>
    </w:rPr>
  </w:style>
  <w:style w:type="paragraph" w:styleId="Heading5">
    <w:name w:val="heading 5"/>
    <w:basedOn w:val="Normal"/>
    <w:next w:val="Normal"/>
    <w:qFormat/>
    <w:pPr>
      <w:keepNext/>
      <w:numPr>
        <w:ilvl w:val="4"/>
        <w:numId w:val="1"/>
      </w:numPr>
      <w:outlineLvl w:val="4"/>
    </w:pPr>
    <w:rPr>
      <w:b/>
      <w:sz w:val="24"/>
      <w:lang w:val="bg-BG"/>
    </w:rPr>
  </w:style>
  <w:style w:type="paragraph" w:styleId="Heading6">
    <w:name w:val="heading 6"/>
    <w:basedOn w:val="Normal"/>
    <w:next w:val="Normal"/>
    <w:qFormat/>
    <w:pPr>
      <w:keepNext/>
      <w:numPr>
        <w:ilvl w:val="5"/>
        <w:numId w:val="1"/>
      </w:numPr>
      <w:jc w:val="center"/>
      <w:outlineLvl w:val="5"/>
    </w:pPr>
    <w:rPr>
      <w:b/>
      <w:bCs/>
      <w:sz w:val="24"/>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keepNext/>
      <w:numPr>
        <w:ilvl w:val="7"/>
        <w:numId w:val="1"/>
      </w:numPr>
      <w:outlineLvl w:val="7"/>
    </w:pPr>
    <w:rPr>
      <w:sz w:val="28"/>
      <w:lang w:val="bg-BG"/>
    </w:rPr>
  </w:style>
  <w:style w:type="paragraph" w:styleId="Heading9">
    <w:name w:val="heading 9"/>
    <w:basedOn w:val="Normal"/>
    <w:next w:val="Normal"/>
    <w:qFormat/>
    <w:pPr>
      <w:keepNext/>
      <w:numPr>
        <w:ilvl w:val="8"/>
        <w:numId w:val="1"/>
      </w:numPr>
      <w:outlineLvl w:val="8"/>
    </w:pPr>
    <w:rPr>
      <w:b/>
      <w:bCs/>
      <w:color w:val="0000FF"/>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sz w:val="24"/>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ntenttitle1">
    <w:name w:val="content_title1"/>
    <w:rPr>
      <w:rFonts w:ascii="Arial" w:hAnsi="Arial" w:cs="Arial"/>
      <w:b/>
      <w:bCs/>
      <w:strike w:val="0"/>
      <w:dstrike w:val="0"/>
      <w:color w:val="0B175D"/>
      <w:sz w:val="20"/>
      <w:szCs w:val="20"/>
      <w:u w:val="none"/>
    </w:rPr>
  </w:style>
  <w:style w:type="character" w:styleId="Strong">
    <w:name w:val="Strong"/>
    <w:qFormat/>
    <w:rPr>
      <w:b/>
      <w:bCs/>
    </w:rPr>
  </w:style>
  <w:style w:type="character" w:customStyle="1" w:styleId="a">
    <w:name w:val="Водачи"/>
    <w:rPr>
      <w:rFonts w:ascii="OpenSymbol" w:eastAsia="OpenSymbol" w:hAnsi="OpenSymbol" w:cs="OpenSymbol"/>
    </w:rPr>
  </w:style>
  <w:style w:type="character" w:customStyle="1" w:styleId="a0">
    <w:name w:val="Символи за номериране"/>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216"/>
    </w:pPr>
    <w:rPr>
      <w:rFonts w:ascii="TmsCyr" w:hAnsi="TmsCyr"/>
      <w:color w:val="000000"/>
      <w:lang w:val="en-AU"/>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sz w:val="24"/>
      <w:szCs w:val="24"/>
    </w:rPr>
  </w:style>
  <w:style w:type="paragraph" w:customStyle="1" w:styleId="a1">
    <w:name w:val="Указател"/>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b/>
      <w:lang w:val="bg-BG"/>
    </w:rPr>
  </w:style>
  <w:style w:type="paragraph" w:styleId="BodyText3">
    <w:name w:val="Body Text 3"/>
    <w:basedOn w:val="Normal"/>
    <w:pPr>
      <w:jc w:val="both"/>
    </w:pPr>
    <w:rPr>
      <w:sz w:val="24"/>
      <w:lang w:val="bg-BG"/>
    </w:rPr>
  </w:style>
  <w:style w:type="paragraph" w:styleId="BodyTextIndent">
    <w:name w:val="Body Text Indent"/>
    <w:basedOn w:val="Normal"/>
    <w:pPr>
      <w:ind w:firstLine="720"/>
      <w:jc w:val="both"/>
    </w:pPr>
    <w:rPr>
      <w:b/>
      <w:i/>
      <w:lang w:val="bg-BG"/>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color w:val="CC3300"/>
      <w:spacing w:val="20"/>
      <w:sz w:val="26"/>
      <w:u w:val="single"/>
    </w:rPr>
  </w:style>
  <w:style w:type="paragraph" w:styleId="BodyTextIndent2">
    <w:name w:val="Body Text Indent 2"/>
    <w:basedOn w:val="Normal"/>
    <w:pPr>
      <w:ind w:left="708"/>
    </w:pPr>
    <w:rPr>
      <w:sz w:val="24"/>
      <w:lang w:val="bg-BG"/>
    </w:rPr>
  </w:style>
  <w:style w:type="paragraph" w:styleId="ListParagraph">
    <w:name w:val="List Paragraph"/>
    <w:basedOn w:val="Normal"/>
    <w:uiPriority w:val="34"/>
    <w:qFormat/>
    <w:rsid w:val="00D466E7"/>
    <w:pPr>
      <w:suppressAutoHyphens w:val="0"/>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466E7"/>
    <w:pPr>
      <w:suppressAutoHyphens w:val="0"/>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466E7"/>
    <w:rPr>
      <w:rFonts w:ascii="Calibri" w:eastAsia="Calibri" w:hAnsi="Calibri"/>
    </w:rPr>
  </w:style>
  <w:style w:type="character" w:styleId="FootnoteReference">
    <w:name w:val="footnote reference"/>
    <w:uiPriority w:val="99"/>
    <w:semiHidden/>
    <w:unhideWhenUsed/>
    <w:rsid w:val="00D466E7"/>
    <w:rPr>
      <w:vertAlign w:val="superscript"/>
    </w:rPr>
  </w:style>
  <w:style w:type="character" w:customStyle="1" w:styleId="FooterChar">
    <w:name w:val="Footer Char"/>
    <w:basedOn w:val="DefaultParagraphFont"/>
    <w:link w:val="Footer"/>
    <w:uiPriority w:val="99"/>
    <w:rsid w:val="00692A7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ANTET</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AQUA TOUR</dc:creator>
  <cp:lastModifiedBy>Az</cp:lastModifiedBy>
  <cp:revision>2</cp:revision>
  <cp:lastPrinted>2010-08-30T06:44:00Z</cp:lastPrinted>
  <dcterms:created xsi:type="dcterms:W3CDTF">2018-11-21T11:40:00Z</dcterms:created>
  <dcterms:modified xsi:type="dcterms:W3CDTF">2018-11-21T11:40:00Z</dcterms:modified>
</cp:coreProperties>
</file>